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val="en-US" w:eastAsia="zh-CN"/>
        </w:rPr>
        <w:t>唐山市曹妃甸区文化广电和旅游局</w:t>
      </w:r>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一、唐山市曹妃甸区文化广电和旅游局本级收支预算</w:t>
      </w:r>
      <w:r>
        <w:tab/>
      </w:r>
      <w:r>
        <w:fldChar w:fldCharType="begin"/>
      </w:r>
      <w:r>
        <w:instrText xml:space="preserve">PAGEREF _Toc_4_4_0000000019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二、曹妃甸区图书馆收支预算</w:t>
      </w:r>
      <w:r>
        <w:tab/>
      </w:r>
      <w:r>
        <w:fldChar w:fldCharType="begin"/>
      </w:r>
      <w:r>
        <w:instrText xml:space="preserve">PAGEREF _Toc_4_4_0000000020 \h</w:instrText>
      </w:r>
      <w:r>
        <w:fldChar w:fldCharType="separate"/>
      </w:r>
      <w:r>
        <w:t>43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三、曹妃甸区文化馆收支预算</w:t>
      </w:r>
      <w:r>
        <w:tab/>
      </w:r>
      <w:r>
        <w:rPr>
          <w:rFonts w:hint="eastAsia"/>
          <w:lang w:val="en-US" w:eastAsia="zh-CN"/>
        </w:rPr>
        <w:t>8</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一、唐山市曹妃甸区文化广电和旅游局本级收支预算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126"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6661" w:type="dxa"/>
            <w:gridSpan w:val="2"/>
            <w:noWrap w:val="0"/>
            <w:vAlign w:val="center"/>
          </w:tcPr>
          <w:p>
            <w:pPr>
              <w:pStyle w:val="13"/>
            </w:pPr>
            <w:r>
              <w:t>收入</w:t>
            </w:r>
          </w:p>
        </w:tc>
        <w:tc>
          <w:tcPr>
            <w:tcW w:w="6661"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3"/>
            </w:pPr>
            <w:r>
              <w:t>项  目</w:t>
            </w:r>
          </w:p>
        </w:tc>
        <w:tc>
          <w:tcPr>
            <w:tcW w:w="2126" w:type="dxa"/>
            <w:noWrap w:val="0"/>
            <w:vAlign w:val="center"/>
          </w:tcPr>
          <w:p>
            <w:pPr>
              <w:pStyle w:val="13"/>
            </w:pPr>
            <w:r>
              <w:t>预算数</w:t>
            </w:r>
          </w:p>
        </w:tc>
        <w:tc>
          <w:tcPr>
            <w:tcW w:w="4535" w:type="dxa"/>
            <w:noWrap w:val="0"/>
            <w:vAlign w:val="center"/>
          </w:tcPr>
          <w:p>
            <w:pPr>
              <w:pStyle w:val="13"/>
            </w:pPr>
            <w:r>
              <w:t>项  目</w:t>
            </w:r>
          </w:p>
        </w:tc>
        <w:tc>
          <w:tcPr>
            <w:tcW w:w="2126"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4535" w:type="dxa"/>
            <w:noWrap w:val="0"/>
            <w:vAlign w:val="center"/>
          </w:tcPr>
          <w:p>
            <w:pPr>
              <w:pStyle w:val="13"/>
            </w:pPr>
            <w:r>
              <w:t>1</w:t>
            </w:r>
          </w:p>
        </w:tc>
        <w:tc>
          <w:tcPr>
            <w:tcW w:w="2126" w:type="dxa"/>
            <w:noWrap w:val="0"/>
            <w:vAlign w:val="center"/>
          </w:tcPr>
          <w:p>
            <w:pPr>
              <w:pStyle w:val="13"/>
            </w:pPr>
            <w:r>
              <w:t>2</w:t>
            </w:r>
          </w:p>
        </w:tc>
        <w:tc>
          <w:tcPr>
            <w:tcW w:w="4535" w:type="dxa"/>
            <w:noWrap w:val="0"/>
            <w:vAlign w:val="center"/>
          </w:tcPr>
          <w:p>
            <w:pPr>
              <w:pStyle w:val="13"/>
            </w:pPr>
            <w:r>
              <w:t>3</w:t>
            </w:r>
          </w:p>
        </w:tc>
        <w:tc>
          <w:tcPr>
            <w:tcW w:w="2126"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15"/>
            </w:pPr>
            <w:r>
              <w:t>一、一般公共预算拨款收入</w:t>
            </w:r>
          </w:p>
        </w:tc>
        <w:tc>
          <w:tcPr>
            <w:tcW w:w="2126" w:type="dxa"/>
            <w:noWrap w:val="0"/>
            <w:vAlign w:val="center"/>
          </w:tcPr>
          <w:p>
            <w:pPr>
              <w:pStyle w:val="14"/>
            </w:pPr>
            <w:r>
              <w:rPr>
                <w:rFonts w:ascii="方正书宋_GBK" w:eastAsia="方正书宋_GBK"/>
              </w:rPr>
              <w:t>1525.73</w:t>
            </w:r>
          </w:p>
        </w:tc>
        <w:tc>
          <w:tcPr>
            <w:tcW w:w="4535" w:type="dxa"/>
            <w:noWrap w:val="0"/>
            <w:vAlign w:val="center"/>
          </w:tcPr>
          <w:p>
            <w:pPr>
              <w:pStyle w:val="15"/>
            </w:pPr>
            <w:r>
              <w:t>一、一般公共服务支出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15"/>
            </w:pPr>
            <w:r>
              <w:t>二、政府性基金预算拨款收入</w:t>
            </w:r>
          </w:p>
        </w:tc>
        <w:tc>
          <w:tcPr>
            <w:tcW w:w="2126" w:type="dxa"/>
            <w:noWrap w:val="0"/>
            <w:vAlign w:val="center"/>
          </w:tcPr>
          <w:p>
            <w:pPr>
              <w:pStyle w:val="14"/>
            </w:pPr>
          </w:p>
        </w:tc>
        <w:tc>
          <w:tcPr>
            <w:tcW w:w="4535" w:type="dxa"/>
            <w:noWrap w:val="0"/>
            <w:vAlign w:val="center"/>
          </w:tcPr>
          <w:p>
            <w:pPr>
              <w:pStyle w:val="15"/>
            </w:pPr>
            <w:r>
              <w:t>二、外交支出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15"/>
            </w:pPr>
            <w:r>
              <w:t>三、国有资本经营预算拨款收入</w:t>
            </w:r>
          </w:p>
        </w:tc>
        <w:tc>
          <w:tcPr>
            <w:tcW w:w="2126" w:type="dxa"/>
            <w:noWrap w:val="0"/>
            <w:vAlign w:val="center"/>
          </w:tcPr>
          <w:p>
            <w:pPr>
              <w:pStyle w:val="14"/>
            </w:pPr>
          </w:p>
        </w:tc>
        <w:tc>
          <w:tcPr>
            <w:tcW w:w="4535" w:type="dxa"/>
            <w:noWrap w:val="0"/>
            <w:vAlign w:val="center"/>
          </w:tcPr>
          <w:p>
            <w:pPr>
              <w:pStyle w:val="15"/>
            </w:pPr>
            <w:r>
              <w:t>三、国防支出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15"/>
            </w:pPr>
            <w:r>
              <w:t>四、财政专户管理资金收入</w:t>
            </w:r>
          </w:p>
        </w:tc>
        <w:tc>
          <w:tcPr>
            <w:tcW w:w="2126" w:type="dxa"/>
            <w:noWrap w:val="0"/>
            <w:vAlign w:val="center"/>
          </w:tcPr>
          <w:p>
            <w:pPr>
              <w:pStyle w:val="14"/>
            </w:pPr>
          </w:p>
        </w:tc>
        <w:tc>
          <w:tcPr>
            <w:tcW w:w="4535" w:type="dxa"/>
            <w:noWrap w:val="0"/>
            <w:vAlign w:val="center"/>
          </w:tcPr>
          <w:p>
            <w:pPr>
              <w:pStyle w:val="15"/>
            </w:pPr>
            <w:r>
              <w:t>四、公共安全支出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15"/>
            </w:pPr>
            <w:r>
              <w:t>五、事业收入</w:t>
            </w:r>
          </w:p>
        </w:tc>
        <w:tc>
          <w:tcPr>
            <w:tcW w:w="2126" w:type="dxa"/>
            <w:noWrap w:val="0"/>
            <w:vAlign w:val="center"/>
          </w:tcPr>
          <w:p>
            <w:pPr>
              <w:pStyle w:val="14"/>
            </w:pPr>
          </w:p>
        </w:tc>
        <w:tc>
          <w:tcPr>
            <w:tcW w:w="4535" w:type="dxa"/>
            <w:noWrap w:val="0"/>
            <w:vAlign w:val="center"/>
          </w:tcPr>
          <w:p>
            <w:pPr>
              <w:pStyle w:val="15"/>
            </w:pPr>
            <w:r>
              <w:t>五、教育支出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15"/>
            </w:pPr>
            <w:r>
              <w:t>六、事业单位经营收入</w:t>
            </w:r>
          </w:p>
        </w:tc>
        <w:tc>
          <w:tcPr>
            <w:tcW w:w="2126" w:type="dxa"/>
            <w:noWrap w:val="0"/>
            <w:vAlign w:val="center"/>
          </w:tcPr>
          <w:p>
            <w:pPr>
              <w:pStyle w:val="14"/>
            </w:pPr>
          </w:p>
        </w:tc>
        <w:tc>
          <w:tcPr>
            <w:tcW w:w="4535" w:type="dxa"/>
            <w:noWrap w:val="0"/>
            <w:vAlign w:val="center"/>
          </w:tcPr>
          <w:p>
            <w:pPr>
              <w:pStyle w:val="15"/>
            </w:pPr>
            <w:r>
              <w:t>六、科学技术支出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15"/>
            </w:pPr>
            <w:r>
              <w:t>七、上级补助收入</w:t>
            </w:r>
          </w:p>
        </w:tc>
        <w:tc>
          <w:tcPr>
            <w:tcW w:w="2126" w:type="dxa"/>
            <w:noWrap w:val="0"/>
            <w:vAlign w:val="center"/>
          </w:tcPr>
          <w:p>
            <w:pPr>
              <w:pStyle w:val="14"/>
            </w:pPr>
          </w:p>
        </w:tc>
        <w:tc>
          <w:tcPr>
            <w:tcW w:w="4535" w:type="dxa"/>
            <w:noWrap w:val="0"/>
            <w:vAlign w:val="center"/>
          </w:tcPr>
          <w:p>
            <w:pPr>
              <w:pStyle w:val="15"/>
            </w:pPr>
            <w:r>
              <w:t>七、文化旅游体育与传媒支出</w:t>
            </w:r>
          </w:p>
        </w:tc>
        <w:tc>
          <w:tcPr>
            <w:tcW w:w="2126" w:type="dxa"/>
            <w:noWrap w:val="0"/>
            <w:vAlign w:val="center"/>
          </w:tcPr>
          <w:p>
            <w:pPr>
              <w:keepNext w:val="0"/>
              <w:keepLines w:val="0"/>
              <w:widowControl/>
              <w:suppressLineNumbers w:val="0"/>
              <w:jc w:val="right"/>
              <w:textAlignment w:val="center"/>
            </w:pPr>
            <w:r>
              <w:rPr>
                <w:rFonts w:hint="eastAsia"/>
              </w:rPr>
              <w:t>1,388.67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15"/>
            </w:pPr>
            <w:r>
              <w:t>八、附属单位上缴收入</w:t>
            </w:r>
          </w:p>
        </w:tc>
        <w:tc>
          <w:tcPr>
            <w:tcW w:w="2126" w:type="dxa"/>
            <w:noWrap w:val="0"/>
            <w:vAlign w:val="center"/>
          </w:tcPr>
          <w:p>
            <w:pPr>
              <w:pStyle w:val="14"/>
            </w:pPr>
          </w:p>
        </w:tc>
        <w:tc>
          <w:tcPr>
            <w:tcW w:w="4535" w:type="dxa"/>
            <w:noWrap w:val="0"/>
            <w:vAlign w:val="center"/>
          </w:tcPr>
          <w:p>
            <w:pPr>
              <w:pStyle w:val="15"/>
            </w:pPr>
            <w:r>
              <w:t>八、社会保障和就业支出</w:t>
            </w:r>
          </w:p>
        </w:tc>
        <w:tc>
          <w:tcPr>
            <w:tcW w:w="2126" w:type="dxa"/>
            <w:noWrap w:val="0"/>
            <w:vAlign w:val="center"/>
          </w:tcPr>
          <w:p>
            <w:pPr>
              <w:keepNext w:val="0"/>
              <w:keepLines w:val="0"/>
              <w:widowControl/>
              <w:suppressLineNumbers w:val="0"/>
              <w:jc w:val="right"/>
              <w:textAlignment w:val="center"/>
            </w:pPr>
            <w:r>
              <w:rPr>
                <w:rFonts w:hint="eastAsia"/>
              </w:rP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15"/>
            </w:pPr>
            <w:r>
              <w:t>九、其他收入</w:t>
            </w:r>
          </w:p>
        </w:tc>
        <w:tc>
          <w:tcPr>
            <w:tcW w:w="2126" w:type="dxa"/>
            <w:noWrap w:val="0"/>
            <w:vAlign w:val="center"/>
          </w:tcPr>
          <w:p>
            <w:pPr>
              <w:pStyle w:val="14"/>
            </w:pPr>
          </w:p>
        </w:tc>
        <w:tc>
          <w:tcPr>
            <w:tcW w:w="4535" w:type="dxa"/>
            <w:noWrap w:val="0"/>
            <w:vAlign w:val="center"/>
          </w:tcPr>
          <w:p>
            <w:pPr>
              <w:pStyle w:val="15"/>
            </w:pPr>
            <w:r>
              <w:t>九、社会保险基金支出</w:t>
            </w:r>
          </w:p>
        </w:tc>
        <w:tc>
          <w:tcPr>
            <w:tcW w:w="2126"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numPr>
                <w:ilvl w:val="0"/>
                <w:numId w:val="1"/>
              </w:numPr>
            </w:pPr>
            <w:r>
              <w:t>卫生健康支出</w:t>
            </w:r>
          </w:p>
        </w:tc>
        <w:tc>
          <w:tcPr>
            <w:tcW w:w="2126" w:type="dxa"/>
            <w:noWrap w:val="0"/>
            <w:vAlign w:val="center"/>
          </w:tcPr>
          <w:p>
            <w:pPr>
              <w:keepNext w:val="0"/>
              <w:keepLines w:val="0"/>
              <w:widowControl/>
              <w:suppressLineNumbers w:val="0"/>
              <w:jc w:val="right"/>
              <w:textAlignment w:val="center"/>
            </w:pPr>
            <w:r>
              <w:rPr>
                <w:rFonts w:hint="eastAsia"/>
              </w:rPr>
              <w:t>46.41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十一、节能环保支出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十二、城乡社区支出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十三、农林水支出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十四、交通运输支出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十五、资源勘探工业信息等支出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十六、商业服务业等支出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十七、金融支出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十八、援助其他地区支出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十九、自然资源海洋气象等支出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50" w:type="dxa"/>
            <w:noWrap w:val="0"/>
            <w:vAlign w:val="center"/>
          </w:tcPr>
          <w:p>
            <w:pPr>
              <w:pStyle w:val="16"/>
            </w:pPr>
            <w:r>
              <w:t>20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二十、住房保障支出</w:t>
            </w:r>
          </w:p>
        </w:tc>
        <w:tc>
          <w:tcPr>
            <w:tcW w:w="2126" w:type="dxa"/>
            <w:noWrap w:val="0"/>
            <w:vAlign w:val="center"/>
          </w:tcPr>
          <w:p>
            <w:pPr>
              <w:pStyle w:val="14"/>
            </w:pPr>
            <w:r>
              <w:rPr>
                <w:rFonts w:hint="eastAsia"/>
              </w:rPr>
              <w:t>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二十一、粮油物资储备支出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二十二、国有资本经营预算支出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二十三、灾害防治及应急管理支出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二十四、预备费</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二十五、其他支出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二十六、转移性支出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二十七、债务还本支出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二十八、债务付息支出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二十九、债务发行费用支出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三十、抗疫特别国债安排的支出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17"/>
            </w:pPr>
            <w:r>
              <w:t>本年收入合计</w:t>
            </w:r>
          </w:p>
        </w:tc>
        <w:tc>
          <w:tcPr>
            <w:tcW w:w="2126" w:type="dxa"/>
            <w:noWrap w:val="0"/>
            <w:vAlign w:val="center"/>
          </w:tcPr>
          <w:p>
            <w:pPr>
              <w:pStyle w:val="18"/>
            </w:pPr>
            <w:r>
              <w:rPr>
                <w:rFonts w:ascii="方正书宋_GBK" w:eastAsia="方正书宋_GBK"/>
              </w:rPr>
              <w:t>1525.73</w:t>
            </w:r>
          </w:p>
        </w:tc>
        <w:tc>
          <w:tcPr>
            <w:tcW w:w="4535" w:type="dxa"/>
            <w:noWrap w:val="0"/>
            <w:vAlign w:val="center"/>
          </w:tcPr>
          <w:p>
            <w:pPr>
              <w:pStyle w:val="17"/>
            </w:pPr>
            <w:r>
              <w:t>本年支出合计</w:t>
            </w:r>
          </w:p>
        </w:tc>
        <w:tc>
          <w:tcPr>
            <w:tcW w:w="2126" w:type="dxa"/>
            <w:noWrap w:val="0"/>
            <w:vAlign w:val="center"/>
          </w:tcPr>
          <w:p>
            <w:pPr>
              <w:pStyle w:val="18"/>
            </w:pPr>
            <w:r>
              <w:rPr>
                <w:rFonts w:ascii="方正书宋_GBK" w:eastAsia="方正书宋_GBK"/>
              </w:rPr>
              <w:t>1525.73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5"/>
            </w:pPr>
            <w:r>
              <w:t>上年结转结余</w:t>
            </w:r>
          </w:p>
        </w:tc>
        <w:tc>
          <w:tcPr>
            <w:tcW w:w="2126" w:type="dxa"/>
            <w:noWrap w:val="0"/>
            <w:vAlign w:val="center"/>
          </w:tcPr>
          <w:p>
            <w:pPr>
              <w:pStyle w:val="14"/>
            </w:pPr>
          </w:p>
        </w:tc>
        <w:tc>
          <w:tcPr>
            <w:tcW w:w="4535" w:type="dxa"/>
            <w:noWrap w:val="0"/>
            <w:vAlign w:val="center"/>
          </w:tcPr>
          <w:p>
            <w:pPr>
              <w:pStyle w:val="15"/>
            </w:pPr>
            <w:r>
              <w:t>年终结转结余</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17"/>
            </w:pPr>
            <w:r>
              <w:t>收入总计</w:t>
            </w:r>
          </w:p>
        </w:tc>
        <w:tc>
          <w:tcPr>
            <w:tcW w:w="2126" w:type="dxa"/>
            <w:noWrap w:val="0"/>
            <w:vAlign w:val="center"/>
          </w:tcPr>
          <w:p>
            <w:pPr>
              <w:pStyle w:val="18"/>
            </w:pPr>
            <w:r>
              <w:rPr>
                <w:rFonts w:ascii="方正书宋_GBK" w:eastAsia="方正书宋_GBK"/>
              </w:rPr>
              <w:t>1525.73</w:t>
            </w:r>
          </w:p>
        </w:tc>
        <w:tc>
          <w:tcPr>
            <w:tcW w:w="4535" w:type="dxa"/>
            <w:noWrap w:val="0"/>
            <w:vAlign w:val="center"/>
          </w:tcPr>
          <w:p>
            <w:pPr>
              <w:pStyle w:val="17"/>
            </w:pPr>
            <w:r>
              <w:t>支出总计</w:t>
            </w:r>
          </w:p>
        </w:tc>
        <w:tc>
          <w:tcPr>
            <w:tcW w:w="2126" w:type="dxa"/>
            <w:noWrap w:val="0"/>
            <w:vAlign w:val="center"/>
          </w:tcPr>
          <w:p>
            <w:pPr>
              <w:pStyle w:val="18"/>
            </w:pPr>
            <w:r>
              <w:rPr>
                <w:rFonts w:ascii="方正书宋_GBK" w:eastAsia="方正书宋_GBK"/>
              </w:rPr>
              <w:t>1525.73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3402"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pPr>
            <w:r>
              <w:t>序号</w:t>
            </w:r>
          </w:p>
        </w:tc>
        <w:tc>
          <w:tcPr>
            <w:tcW w:w="2551" w:type="dxa"/>
            <w:gridSpan w:val="2"/>
            <w:noWrap w:val="0"/>
            <w:vAlign w:val="center"/>
          </w:tcPr>
          <w:p>
            <w:pPr>
              <w:pStyle w:val="13"/>
            </w:pPr>
            <w:r>
              <w:t>功能分类科目</w:t>
            </w:r>
          </w:p>
        </w:tc>
        <w:tc>
          <w:tcPr>
            <w:tcW w:w="1134" w:type="dxa"/>
            <w:vMerge w:val="restart"/>
            <w:noWrap w:val="0"/>
            <w:vAlign w:val="center"/>
          </w:tcPr>
          <w:p>
            <w:pPr>
              <w:pStyle w:val="13"/>
            </w:pPr>
            <w:r>
              <w:t>合计</w:t>
            </w:r>
          </w:p>
        </w:tc>
        <w:tc>
          <w:tcPr>
            <w:tcW w:w="9071" w:type="dxa"/>
            <w:gridSpan w:val="8"/>
            <w:noWrap w:val="0"/>
            <w:vAlign w:val="center"/>
          </w:tcPr>
          <w:p>
            <w:pPr>
              <w:pStyle w:val="13"/>
            </w:pPr>
            <w:r>
              <w:t>本年收入</w:t>
            </w:r>
          </w:p>
        </w:tc>
        <w:tc>
          <w:tcPr>
            <w:tcW w:w="113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3"/>
            </w:pPr>
            <w:r>
              <w:t>科目    编码</w:t>
            </w:r>
          </w:p>
        </w:tc>
        <w:tc>
          <w:tcPr>
            <w:tcW w:w="1559" w:type="dxa"/>
            <w:noWrap w:val="0"/>
            <w:vAlign w:val="center"/>
          </w:tcPr>
          <w:p>
            <w:pPr>
              <w:pStyle w:val="13"/>
            </w:pPr>
            <w:r>
              <w:t>科目名称</w:t>
            </w:r>
          </w:p>
        </w:tc>
        <w:tc>
          <w:tcPr>
            <w:tcW w:w="1134" w:type="dxa"/>
            <w:vMerge w:val="continue"/>
            <w:noWrap w:val="0"/>
            <w:vAlign w:val="top"/>
          </w:tcPr>
          <w:p/>
        </w:tc>
        <w:tc>
          <w:tcPr>
            <w:tcW w:w="1134" w:type="dxa"/>
            <w:noWrap w:val="0"/>
            <w:vAlign w:val="center"/>
          </w:tcPr>
          <w:p>
            <w:pPr>
              <w:pStyle w:val="13"/>
            </w:pPr>
            <w:r>
              <w:t>小计</w:t>
            </w:r>
          </w:p>
        </w:tc>
        <w:tc>
          <w:tcPr>
            <w:tcW w:w="1134" w:type="dxa"/>
            <w:noWrap w:val="0"/>
            <w:vAlign w:val="center"/>
          </w:tcPr>
          <w:p>
            <w:pPr>
              <w:pStyle w:val="13"/>
            </w:pPr>
            <w:r>
              <w:t>财政拨款 收入</w:t>
            </w:r>
          </w:p>
        </w:tc>
        <w:tc>
          <w:tcPr>
            <w:tcW w:w="1134" w:type="dxa"/>
            <w:noWrap w:val="0"/>
            <w:vAlign w:val="center"/>
          </w:tcPr>
          <w:p>
            <w:pPr>
              <w:pStyle w:val="13"/>
            </w:pPr>
            <w:r>
              <w:t>财政专户 收入</w:t>
            </w:r>
          </w:p>
        </w:tc>
        <w:tc>
          <w:tcPr>
            <w:tcW w:w="1134" w:type="dxa"/>
            <w:noWrap w:val="0"/>
            <w:vAlign w:val="center"/>
          </w:tcPr>
          <w:p>
            <w:pPr>
              <w:pStyle w:val="13"/>
            </w:pPr>
            <w:r>
              <w:t>事业收入</w:t>
            </w:r>
          </w:p>
        </w:tc>
        <w:tc>
          <w:tcPr>
            <w:tcW w:w="1134" w:type="dxa"/>
            <w:noWrap w:val="0"/>
            <w:vAlign w:val="center"/>
          </w:tcPr>
          <w:p>
            <w:pPr>
              <w:pStyle w:val="13"/>
            </w:pPr>
            <w:r>
              <w:t>经营收入</w:t>
            </w:r>
          </w:p>
        </w:tc>
        <w:tc>
          <w:tcPr>
            <w:tcW w:w="1134" w:type="dxa"/>
            <w:noWrap w:val="0"/>
            <w:vAlign w:val="center"/>
          </w:tcPr>
          <w:p>
            <w:pPr>
              <w:pStyle w:val="13"/>
            </w:pPr>
            <w:r>
              <w:t>上级补助收入</w:t>
            </w:r>
          </w:p>
        </w:tc>
        <w:tc>
          <w:tcPr>
            <w:tcW w:w="1134" w:type="dxa"/>
            <w:noWrap w:val="0"/>
            <w:vAlign w:val="center"/>
          </w:tcPr>
          <w:p>
            <w:pPr>
              <w:pStyle w:val="13"/>
            </w:pPr>
            <w:r>
              <w:t>附属单位上缴收入</w:t>
            </w:r>
          </w:p>
        </w:tc>
        <w:tc>
          <w:tcPr>
            <w:tcW w:w="1134" w:type="dxa"/>
            <w:noWrap w:val="0"/>
            <w:vAlign w:val="center"/>
          </w:tcPr>
          <w:p>
            <w:pPr>
              <w:pStyle w:val="1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pPr>
            <w:r>
              <w:t>栏次</w:t>
            </w:r>
          </w:p>
        </w:tc>
        <w:tc>
          <w:tcPr>
            <w:tcW w:w="992" w:type="dxa"/>
            <w:noWrap w:val="0"/>
            <w:vAlign w:val="center"/>
          </w:tcPr>
          <w:p>
            <w:pPr>
              <w:pStyle w:val="13"/>
            </w:pPr>
            <w:r>
              <w:t>1</w:t>
            </w:r>
          </w:p>
        </w:tc>
        <w:tc>
          <w:tcPr>
            <w:tcW w:w="1559" w:type="dxa"/>
            <w:noWrap w:val="0"/>
            <w:vAlign w:val="center"/>
          </w:tcPr>
          <w:p>
            <w:pPr>
              <w:pStyle w:val="13"/>
            </w:pPr>
            <w:r>
              <w:t>2</w:t>
            </w:r>
          </w:p>
        </w:tc>
        <w:tc>
          <w:tcPr>
            <w:tcW w:w="1134" w:type="dxa"/>
            <w:noWrap w:val="0"/>
            <w:vAlign w:val="center"/>
          </w:tcPr>
          <w:p>
            <w:pPr>
              <w:pStyle w:val="13"/>
            </w:pPr>
            <w:r>
              <w:t>3</w:t>
            </w:r>
          </w:p>
        </w:tc>
        <w:tc>
          <w:tcPr>
            <w:tcW w:w="1134" w:type="dxa"/>
            <w:noWrap w:val="0"/>
            <w:vAlign w:val="center"/>
          </w:tcPr>
          <w:p>
            <w:pPr>
              <w:pStyle w:val="13"/>
            </w:pPr>
            <w:r>
              <w:t>4</w:t>
            </w:r>
          </w:p>
        </w:tc>
        <w:tc>
          <w:tcPr>
            <w:tcW w:w="1134" w:type="dxa"/>
            <w:noWrap w:val="0"/>
            <w:vAlign w:val="center"/>
          </w:tcPr>
          <w:p>
            <w:pPr>
              <w:pStyle w:val="13"/>
            </w:pPr>
            <w:r>
              <w:t>5</w:t>
            </w:r>
          </w:p>
        </w:tc>
        <w:tc>
          <w:tcPr>
            <w:tcW w:w="1134" w:type="dxa"/>
            <w:noWrap w:val="0"/>
            <w:vAlign w:val="center"/>
          </w:tcPr>
          <w:p>
            <w:pPr>
              <w:pStyle w:val="13"/>
            </w:pPr>
            <w:r>
              <w:t>6</w:t>
            </w:r>
          </w:p>
        </w:tc>
        <w:tc>
          <w:tcPr>
            <w:tcW w:w="1134" w:type="dxa"/>
            <w:noWrap w:val="0"/>
            <w:vAlign w:val="center"/>
          </w:tcPr>
          <w:p>
            <w:pPr>
              <w:pStyle w:val="13"/>
            </w:pPr>
            <w:r>
              <w:t>7</w:t>
            </w:r>
          </w:p>
        </w:tc>
        <w:tc>
          <w:tcPr>
            <w:tcW w:w="1134" w:type="dxa"/>
            <w:noWrap w:val="0"/>
            <w:vAlign w:val="center"/>
          </w:tcPr>
          <w:p>
            <w:pPr>
              <w:pStyle w:val="13"/>
            </w:pPr>
            <w:r>
              <w:t>8</w:t>
            </w:r>
          </w:p>
        </w:tc>
        <w:tc>
          <w:tcPr>
            <w:tcW w:w="1134" w:type="dxa"/>
            <w:noWrap w:val="0"/>
            <w:vAlign w:val="center"/>
          </w:tcPr>
          <w:p>
            <w:pPr>
              <w:pStyle w:val="13"/>
            </w:pPr>
            <w:r>
              <w:t>9</w:t>
            </w:r>
          </w:p>
        </w:tc>
        <w:tc>
          <w:tcPr>
            <w:tcW w:w="1134" w:type="dxa"/>
            <w:noWrap w:val="0"/>
            <w:vAlign w:val="center"/>
          </w:tcPr>
          <w:p>
            <w:pPr>
              <w:pStyle w:val="13"/>
            </w:pPr>
            <w:r>
              <w:t>10</w:t>
            </w:r>
          </w:p>
        </w:tc>
        <w:tc>
          <w:tcPr>
            <w:tcW w:w="1134" w:type="dxa"/>
            <w:noWrap w:val="0"/>
            <w:vAlign w:val="center"/>
          </w:tcPr>
          <w:p>
            <w:pPr>
              <w:pStyle w:val="13"/>
            </w:pPr>
            <w:r>
              <w:t>11</w:t>
            </w:r>
          </w:p>
        </w:tc>
        <w:tc>
          <w:tcPr>
            <w:tcW w:w="113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19"/>
            </w:pPr>
          </w:p>
        </w:tc>
        <w:tc>
          <w:tcPr>
            <w:tcW w:w="1559" w:type="dxa"/>
            <w:noWrap w:val="0"/>
            <w:vAlign w:val="center"/>
          </w:tcPr>
          <w:p>
            <w:pPr>
              <w:pStyle w:val="17"/>
            </w:pPr>
            <w:r>
              <w:t>合计</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15"/>
            </w:pPr>
            <w:r>
              <w:t>207</w:t>
            </w:r>
          </w:p>
        </w:tc>
        <w:tc>
          <w:tcPr>
            <w:tcW w:w="1559" w:type="dxa"/>
            <w:noWrap w:val="0"/>
            <w:vAlign w:val="center"/>
          </w:tcPr>
          <w:p>
            <w:pPr>
              <w:pStyle w:val="15"/>
            </w:pPr>
            <w:r>
              <w:t>文化旅游体育与传媒支出</w:t>
            </w:r>
          </w:p>
        </w:tc>
        <w:tc>
          <w:tcPr>
            <w:tcW w:w="1134" w:type="dxa"/>
            <w:noWrap w:val="0"/>
            <w:vAlign w:val="center"/>
          </w:tcPr>
          <w:p>
            <w:r>
              <w:rPr>
                <w:rFonts w:hint="eastAsia"/>
              </w:rPr>
              <w:t>1,388.67</w:t>
            </w:r>
          </w:p>
        </w:tc>
        <w:tc>
          <w:tcPr>
            <w:tcW w:w="1134" w:type="dxa"/>
            <w:noWrap w:val="0"/>
            <w:vAlign w:val="center"/>
          </w:tcPr>
          <w:p>
            <w:r>
              <w:rPr>
                <w:rFonts w:hint="eastAsia"/>
              </w:rPr>
              <w:t>1,388.67</w:t>
            </w:r>
          </w:p>
        </w:tc>
        <w:tc>
          <w:tcPr>
            <w:tcW w:w="1134" w:type="dxa"/>
            <w:noWrap w:val="0"/>
            <w:vAlign w:val="center"/>
          </w:tcPr>
          <w:p>
            <w:r>
              <w:rPr>
                <w:rFonts w:hint="eastAsia"/>
              </w:rPr>
              <w:t>1,388.67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15"/>
            </w:pPr>
            <w:r>
              <w:t>20701</w:t>
            </w:r>
          </w:p>
        </w:tc>
        <w:tc>
          <w:tcPr>
            <w:tcW w:w="1559" w:type="dxa"/>
            <w:noWrap w:val="0"/>
            <w:vAlign w:val="center"/>
          </w:tcPr>
          <w:p>
            <w:pPr>
              <w:pStyle w:val="15"/>
            </w:pPr>
            <w:r>
              <w:t>文化和旅游</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15"/>
            </w:pPr>
            <w:r>
              <w:t>2070101</w:t>
            </w:r>
          </w:p>
        </w:tc>
        <w:tc>
          <w:tcPr>
            <w:tcW w:w="1559" w:type="dxa"/>
            <w:noWrap w:val="0"/>
            <w:vAlign w:val="center"/>
          </w:tcPr>
          <w:p>
            <w:pPr>
              <w:pStyle w:val="15"/>
            </w:pPr>
            <w:r>
              <w:t>行政运行</w:t>
            </w:r>
          </w:p>
        </w:tc>
        <w:tc>
          <w:tcPr>
            <w:tcW w:w="1134" w:type="dxa"/>
            <w:noWrap w:val="0"/>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15"/>
            </w:pPr>
            <w:r>
              <w:t>2070199</w:t>
            </w:r>
          </w:p>
        </w:tc>
        <w:tc>
          <w:tcPr>
            <w:tcW w:w="1559" w:type="dxa"/>
            <w:noWrap w:val="0"/>
            <w:vAlign w:val="center"/>
          </w:tcPr>
          <w:p>
            <w:pPr>
              <w:pStyle w:val="15"/>
            </w:pPr>
            <w:r>
              <w:t>其他文化和旅游支出</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40.29</w:t>
            </w:r>
          </w:p>
        </w:tc>
        <w:tc>
          <w:tcPr>
            <w:tcW w:w="1134" w:type="dxa"/>
            <w:noWrap w:val="0"/>
            <w:vAlign w:val="center"/>
          </w:tcPr>
          <w:p>
            <w:pPr>
              <w:pStyle w:val="14"/>
              <w:ind w:firstLine="0" w:firstLineChars="0"/>
              <w:rPr>
                <w:color w:val="auto"/>
              </w:rPr>
            </w:pPr>
            <w:r>
              <w:rPr>
                <w:rFonts w:hint="eastAsia"/>
                <w:color w:val="auto"/>
                <w:lang w:val="en-US" w:eastAsia="zh-CN"/>
              </w:rPr>
              <w:t>40.29</w:t>
            </w:r>
          </w:p>
        </w:tc>
        <w:tc>
          <w:tcPr>
            <w:tcW w:w="1134" w:type="dxa"/>
            <w:noWrap w:val="0"/>
            <w:vAlign w:val="center"/>
          </w:tcPr>
          <w:p>
            <w:pPr>
              <w:pStyle w:val="14"/>
              <w:ind w:firstLine="0" w:firstLineChars="0"/>
              <w:rPr>
                <w:color w:val="auto"/>
              </w:rPr>
            </w:pPr>
            <w:r>
              <w:rPr>
                <w:rFonts w:hint="eastAsia"/>
                <w:color w:val="auto"/>
                <w:lang w:val="en-US" w:eastAsia="zh-CN"/>
              </w:rPr>
              <w:t>40.29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20.14</w:t>
            </w:r>
          </w:p>
        </w:tc>
        <w:tc>
          <w:tcPr>
            <w:tcW w:w="1134" w:type="dxa"/>
            <w:noWrap w:val="0"/>
            <w:vAlign w:val="center"/>
          </w:tcPr>
          <w:p>
            <w:pPr>
              <w:rPr>
                <w:color w:val="auto"/>
              </w:rPr>
            </w:pPr>
            <w:r>
              <w:rPr>
                <w:rFonts w:hint="eastAsia"/>
                <w:color w:val="auto"/>
                <w:lang w:val="en-US" w:eastAsia="zh-CN"/>
              </w:rPr>
              <w:t>20.14</w:t>
            </w:r>
          </w:p>
        </w:tc>
        <w:tc>
          <w:tcPr>
            <w:tcW w:w="1134" w:type="dxa"/>
            <w:noWrap w:val="0"/>
            <w:vAlign w:val="center"/>
          </w:tcPr>
          <w:p>
            <w:pPr>
              <w:rPr>
                <w:color w:val="auto"/>
              </w:rPr>
            </w:pPr>
            <w:r>
              <w:rPr>
                <w:rFonts w:hint="eastAsia"/>
                <w:color w:val="auto"/>
                <w:lang w:val="en-US" w:eastAsia="zh-CN"/>
              </w:rPr>
              <w:t>20.14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15"/>
            </w:pPr>
            <w:r>
              <w:t>2101101</w:t>
            </w:r>
          </w:p>
        </w:tc>
        <w:tc>
          <w:tcPr>
            <w:tcW w:w="1559" w:type="dxa"/>
            <w:noWrap w:val="0"/>
            <w:vAlign w:val="center"/>
          </w:tcPr>
          <w:p>
            <w:pPr>
              <w:pStyle w:val="15"/>
            </w:pPr>
            <w:r>
              <w:t>行政单位医疗</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18.26</w:t>
            </w:r>
          </w:p>
        </w:tc>
        <w:tc>
          <w:tcPr>
            <w:tcW w:w="1134" w:type="dxa"/>
            <w:noWrap w:val="0"/>
            <w:vAlign w:val="center"/>
          </w:tcPr>
          <w:p>
            <w:pPr>
              <w:rPr>
                <w:color w:val="auto"/>
              </w:rPr>
            </w:pPr>
            <w:r>
              <w:rPr>
                <w:rFonts w:hint="eastAsia"/>
                <w:color w:val="auto"/>
                <w:lang w:val="en-US" w:eastAsia="zh-CN"/>
              </w:rPr>
              <w:t>18.26</w:t>
            </w:r>
          </w:p>
        </w:tc>
        <w:tc>
          <w:tcPr>
            <w:tcW w:w="1134" w:type="dxa"/>
            <w:noWrap w:val="0"/>
            <w:vAlign w:val="center"/>
          </w:tcPr>
          <w:p>
            <w:pPr>
              <w:rPr>
                <w:color w:val="auto"/>
              </w:rPr>
            </w:pPr>
            <w:r>
              <w:rPr>
                <w:rFonts w:hint="eastAsia"/>
                <w:color w:val="auto"/>
                <w:lang w:val="en-US" w:eastAsia="zh-CN"/>
              </w:rPr>
              <w:t>18.26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15"/>
            </w:pPr>
            <w:r>
              <w:t>2101103</w:t>
            </w:r>
          </w:p>
        </w:tc>
        <w:tc>
          <w:tcPr>
            <w:tcW w:w="1559" w:type="dxa"/>
            <w:noWrap w:val="0"/>
            <w:vAlign w:val="center"/>
          </w:tcPr>
          <w:p>
            <w:pPr>
              <w:pStyle w:val="15"/>
            </w:pPr>
            <w:r>
              <w:t>公务员医疗补助</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28.15</w:t>
            </w:r>
          </w:p>
        </w:tc>
        <w:tc>
          <w:tcPr>
            <w:tcW w:w="1134" w:type="dxa"/>
            <w:noWrap w:val="0"/>
            <w:vAlign w:val="center"/>
          </w:tcPr>
          <w:p>
            <w:pPr>
              <w:rPr>
                <w:color w:val="auto"/>
              </w:rPr>
            </w:pPr>
            <w:r>
              <w:rPr>
                <w:rFonts w:hint="eastAsia"/>
                <w:color w:val="auto"/>
                <w:lang w:val="en-US" w:eastAsia="zh-CN"/>
              </w:rPr>
              <w:t>28.15</w:t>
            </w:r>
          </w:p>
        </w:tc>
        <w:tc>
          <w:tcPr>
            <w:tcW w:w="1134" w:type="dxa"/>
            <w:noWrap w:val="0"/>
            <w:vAlign w:val="center"/>
          </w:tcPr>
          <w:p>
            <w:pPr>
              <w:rPr>
                <w:color w:val="auto"/>
              </w:rPr>
            </w:pPr>
            <w:r>
              <w:rPr>
                <w:rFonts w:hint="eastAsia"/>
                <w:color w:val="auto"/>
                <w:lang w:val="en-US" w:eastAsia="zh-CN"/>
              </w:rPr>
              <w:t>28.15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15</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16</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190" w:type="dxa"/>
            <w:gridSpan w:val="2"/>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13"/>
            </w:pPr>
            <w:r>
              <w:t>序号</w:t>
            </w:r>
          </w:p>
        </w:tc>
        <w:tc>
          <w:tcPr>
            <w:tcW w:w="2190" w:type="dxa"/>
            <w:gridSpan w:val="2"/>
            <w:noWrap w:val="0"/>
            <w:vAlign w:val="center"/>
          </w:tcPr>
          <w:p>
            <w:pPr>
              <w:pStyle w:val="13"/>
            </w:pPr>
            <w:r>
              <w:t>功能分类科目</w:t>
            </w:r>
          </w:p>
        </w:tc>
        <w:tc>
          <w:tcPr>
            <w:tcW w:w="1095" w:type="dxa"/>
            <w:vMerge w:val="restart"/>
            <w:noWrap w:val="0"/>
            <w:vAlign w:val="center"/>
          </w:tcPr>
          <w:p>
            <w:pPr>
              <w:pStyle w:val="13"/>
            </w:pPr>
            <w:r>
              <w:t>合计</w:t>
            </w:r>
          </w:p>
        </w:tc>
        <w:tc>
          <w:tcPr>
            <w:tcW w:w="1095" w:type="dxa"/>
            <w:vMerge w:val="restart"/>
            <w:noWrap w:val="0"/>
            <w:vAlign w:val="center"/>
          </w:tcPr>
          <w:p>
            <w:pPr>
              <w:pStyle w:val="13"/>
            </w:pPr>
            <w:r>
              <w:t>基本支出</w:t>
            </w:r>
          </w:p>
        </w:tc>
        <w:tc>
          <w:tcPr>
            <w:tcW w:w="1095" w:type="dxa"/>
            <w:vMerge w:val="restart"/>
            <w:noWrap w:val="0"/>
            <w:vAlign w:val="center"/>
          </w:tcPr>
          <w:p>
            <w:pPr>
              <w:pStyle w:val="13"/>
            </w:pPr>
            <w:r>
              <w:t>项目支出</w:t>
            </w:r>
          </w:p>
        </w:tc>
        <w:tc>
          <w:tcPr>
            <w:tcW w:w="1095" w:type="dxa"/>
            <w:vMerge w:val="restart"/>
            <w:noWrap w:val="0"/>
            <w:vAlign w:val="center"/>
          </w:tcPr>
          <w:p>
            <w:pPr>
              <w:pStyle w:val="13"/>
            </w:pPr>
            <w:r>
              <w:t>经营支出</w:t>
            </w:r>
          </w:p>
        </w:tc>
        <w:tc>
          <w:tcPr>
            <w:tcW w:w="1095" w:type="dxa"/>
            <w:vMerge w:val="restart"/>
            <w:noWrap w:val="0"/>
            <w:vAlign w:val="center"/>
          </w:tcPr>
          <w:p>
            <w:pPr>
              <w:pStyle w:val="13"/>
            </w:pPr>
            <w:r>
              <w:t>上解上级     支出</w:t>
            </w:r>
          </w:p>
        </w:tc>
        <w:tc>
          <w:tcPr>
            <w:tcW w:w="1095"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13"/>
            </w:pPr>
            <w:r>
              <w:t>科目    编码</w:t>
            </w:r>
          </w:p>
        </w:tc>
        <w:tc>
          <w:tcPr>
            <w:tcW w:w="1095" w:type="dxa"/>
            <w:noWrap w:val="0"/>
            <w:vAlign w:val="center"/>
          </w:tcPr>
          <w:p>
            <w:pPr>
              <w:pStyle w:val="13"/>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13"/>
            </w:pPr>
            <w:r>
              <w:t>栏次</w:t>
            </w:r>
          </w:p>
        </w:tc>
        <w:tc>
          <w:tcPr>
            <w:tcW w:w="1095" w:type="dxa"/>
            <w:noWrap w:val="0"/>
            <w:vAlign w:val="center"/>
          </w:tcPr>
          <w:p>
            <w:pPr>
              <w:pStyle w:val="13"/>
            </w:pPr>
            <w:r>
              <w:t>1</w:t>
            </w:r>
          </w:p>
        </w:tc>
        <w:tc>
          <w:tcPr>
            <w:tcW w:w="1095" w:type="dxa"/>
            <w:noWrap w:val="0"/>
            <w:vAlign w:val="center"/>
          </w:tcPr>
          <w:p>
            <w:pPr>
              <w:pStyle w:val="13"/>
            </w:pPr>
            <w:r>
              <w:t>2</w:t>
            </w:r>
          </w:p>
        </w:tc>
        <w:tc>
          <w:tcPr>
            <w:tcW w:w="1095" w:type="dxa"/>
            <w:noWrap w:val="0"/>
            <w:vAlign w:val="center"/>
          </w:tcPr>
          <w:p>
            <w:pPr>
              <w:pStyle w:val="13"/>
            </w:pPr>
            <w:r>
              <w:t>3</w:t>
            </w:r>
          </w:p>
        </w:tc>
        <w:tc>
          <w:tcPr>
            <w:tcW w:w="1095" w:type="dxa"/>
            <w:noWrap w:val="0"/>
            <w:vAlign w:val="center"/>
          </w:tcPr>
          <w:p>
            <w:pPr>
              <w:pStyle w:val="13"/>
            </w:pPr>
            <w:r>
              <w:t>4</w:t>
            </w:r>
          </w:p>
        </w:tc>
        <w:tc>
          <w:tcPr>
            <w:tcW w:w="1095" w:type="dxa"/>
            <w:noWrap w:val="0"/>
            <w:vAlign w:val="center"/>
          </w:tcPr>
          <w:p>
            <w:pPr>
              <w:pStyle w:val="13"/>
            </w:pPr>
            <w:r>
              <w:t>5</w:t>
            </w:r>
          </w:p>
        </w:tc>
        <w:tc>
          <w:tcPr>
            <w:tcW w:w="1095" w:type="dxa"/>
            <w:noWrap w:val="0"/>
            <w:vAlign w:val="center"/>
          </w:tcPr>
          <w:p>
            <w:pPr>
              <w:pStyle w:val="13"/>
            </w:pPr>
            <w:r>
              <w:t>6</w:t>
            </w:r>
          </w:p>
        </w:tc>
        <w:tc>
          <w:tcPr>
            <w:tcW w:w="1095" w:type="dxa"/>
            <w:noWrap w:val="0"/>
            <w:vAlign w:val="center"/>
          </w:tcPr>
          <w:p>
            <w:pPr>
              <w:pStyle w:val="13"/>
            </w:pPr>
            <w:r>
              <w:t>7</w:t>
            </w:r>
          </w:p>
        </w:tc>
        <w:tc>
          <w:tcPr>
            <w:tcW w:w="1095"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w:t>
            </w:r>
          </w:p>
        </w:tc>
        <w:tc>
          <w:tcPr>
            <w:tcW w:w="1095" w:type="dxa"/>
            <w:noWrap w:val="0"/>
            <w:vAlign w:val="center"/>
          </w:tcPr>
          <w:p>
            <w:pPr>
              <w:pStyle w:val="19"/>
            </w:pPr>
          </w:p>
        </w:tc>
        <w:tc>
          <w:tcPr>
            <w:tcW w:w="1095" w:type="dxa"/>
            <w:noWrap w:val="0"/>
            <w:vAlign w:val="center"/>
          </w:tcPr>
          <w:p>
            <w:pPr>
              <w:pStyle w:val="17"/>
            </w:pPr>
            <w:r>
              <w:t>合计</w:t>
            </w:r>
          </w:p>
        </w:tc>
        <w:tc>
          <w:tcPr>
            <w:tcW w:w="1095" w:type="dxa"/>
            <w:noWrap w:val="0"/>
            <w:vAlign w:val="center"/>
          </w:tcPr>
          <w:p>
            <w:pPr>
              <w:pStyle w:val="18"/>
            </w:pPr>
            <w:r>
              <w:rPr>
                <w:rFonts w:hint="eastAsia"/>
              </w:rPr>
              <w:t>1,525.73</w:t>
            </w:r>
          </w:p>
        </w:tc>
        <w:tc>
          <w:tcPr>
            <w:tcW w:w="1095" w:type="dxa"/>
            <w:noWrap w:val="0"/>
            <w:vAlign w:val="center"/>
          </w:tcPr>
          <w:p>
            <w:pPr>
              <w:pStyle w:val="18"/>
            </w:pPr>
            <w:r>
              <w:rPr>
                <w:rFonts w:ascii="方正书宋_GBK" w:eastAsia="方正书宋_GBK"/>
              </w:rPr>
              <w:t>497.03</w:t>
            </w:r>
          </w:p>
        </w:tc>
        <w:tc>
          <w:tcPr>
            <w:tcW w:w="1095" w:type="dxa"/>
            <w:noWrap w:val="0"/>
            <w:vAlign w:val="center"/>
          </w:tcPr>
          <w:p>
            <w:pPr>
              <w:pStyle w:val="18"/>
            </w:pPr>
            <w:r>
              <w:rPr>
                <w:rFonts w:ascii="方正书宋_GBK" w:eastAsia="方正书宋_GBK"/>
              </w:rPr>
              <w:t>1028.70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2</w:t>
            </w:r>
          </w:p>
        </w:tc>
        <w:tc>
          <w:tcPr>
            <w:tcW w:w="1095" w:type="dxa"/>
            <w:noWrap w:val="0"/>
            <w:vAlign w:val="center"/>
          </w:tcPr>
          <w:p>
            <w:pPr>
              <w:pStyle w:val="15"/>
            </w:pPr>
            <w:r>
              <w:t>207</w:t>
            </w:r>
          </w:p>
        </w:tc>
        <w:tc>
          <w:tcPr>
            <w:tcW w:w="1095" w:type="dxa"/>
            <w:noWrap w:val="0"/>
            <w:vAlign w:val="center"/>
          </w:tcPr>
          <w:p>
            <w:pPr>
              <w:pStyle w:val="15"/>
            </w:pPr>
            <w:r>
              <w:t>文化旅游体育与传媒支出</w:t>
            </w:r>
          </w:p>
        </w:tc>
        <w:tc>
          <w:tcPr>
            <w:tcW w:w="1095" w:type="dxa"/>
            <w:noWrap w:val="0"/>
            <w:vAlign w:val="center"/>
          </w:tcPr>
          <w:p>
            <w:r>
              <w:rPr>
                <w:rFonts w:hint="eastAsia"/>
              </w:rPr>
              <w:t>1,388.67</w:t>
            </w:r>
          </w:p>
        </w:tc>
        <w:tc>
          <w:tcPr>
            <w:tcW w:w="1095" w:type="dxa"/>
            <w:noWrap w:val="0"/>
            <w:vAlign w:val="center"/>
          </w:tcPr>
          <w:p>
            <w:pPr>
              <w:pStyle w:val="14"/>
              <w:rPr>
                <w:rFonts w:hint="default" w:eastAsia="方正书宋_GBK"/>
                <w:color w:val="auto"/>
                <w:highlight w:val="none"/>
                <w:lang w:val="en-US" w:eastAsia="zh-CN"/>
              </w:rPr>
            </w:pPr>
            <w:r>
              <w:rPr>
                <w:rFonts w:hint="eastAsia"/>
                <w:color w:val="auto"/>
                <w:highlight w:val="none"/>
                <w:lang w:val="en-US" w:eastAsia="zh-CN"/>
              </w:rPr>
              <w:t>359.97</w:t>
            </w:r>
          </w:p>
        </w:tc>
        <w:tc>
          <w:tcPr>
            <w:tcW w:w="1095" w:type="dxa"/>
            <w:noWrap w:val="0"/>
            <w:vAlign w:val="center"/>
          </w:tcPr>
          <w:p>
            <w:pPr>
              <w:pStyle w:val="14"/>
              <w:rPr>
                <w:rFonts w:hint="default" w:eastAsia="方正书宋_GBK"/>
                <w:color w:val="auto"/>
                <w:highlight w:val="none"/>
                <w:lang w:val="en-US" w:eastAsia="zh-CN"/>
              </w:rPr>
            </w:pPr>
            <w:r>
              <w:rPr>
                <w:rFonts w:hint="eastAsia" w:ascii="方正书宋_GBK" w:hAnsi="方正书宋_GBK" w:eastAsia="方正书宋_GBK" w:cs="方正书宋_GBK"/>
                <w:color w:val="auto"/>
                <w:sz w:val="21"/>
                <w:szCs w:val="24"/>
                <w:highlight w:val="none"/>
                <w:lang w:val="en-US" w:eastAsia="zh-CN" w:bidi="ar-SA"/>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3</w:t>
            </w:r>
          </w:p>
        </w:tc>
        <w:tc>
          <w:tcPr>
            <w:tcW w:w="1095" w:type="dxa"/>
            <w:noWrap w:val="0"/>
            <w:vAlign w:val="center"/>
          </w:tcPr>
          <w:p>
            <w:pPr>
              <w:pStyle w:val="15"/>
            </w:pPr>
            <w:r>
              <w:t>20701</w:t>
            </w:r>
          </w:p>
        </w:tc>
        <w:tc>
          <w:tcPr>
            <w:tcW w:w="1095" w:type="dxa"/>
            <w:noWrap w:val="0"/>
            <w:vAlign w:val="center"/>
          </w:tcPr>
          <w:p>
            <w:pPr>
              <w:pStyle w:val="15"/>
            </w:pPr>
            <w:r>
              <w:t>文化和旅游</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1,388.67</w:t>
            </w:r>
          </w:p>
        </w:tc>
        <w:tc>
          <w:tcPr>
            <w:tcW w:w="1095" w:type="dxa"/>
            <w:noWrap w:val="0"/>
            <w:vAlign w:val="center"/>
          </w:tcPr>
          <w:p>
            <w:pPr>
              <w:pStyle w:val="14"/>
              <w:rPr>
                <w:color w:val="auto"/>
                <w:highlight w:val="none"/>
              </w:rPr>
            </w:pPr>
            <w:r>
              <w:rPr>
                <w:rFonts w:hint="eastAsia"/>
                <w:color w:val="auto"/>
                <w:highlight w:val="none"/>
                <w:lang w:val="en-US" w:eastAsia="zh-CN"/>
              </w:rPr>
              <w:t>359.97</w:t>
            </w:r>
          </w:p>
        </w:tc>
        <w:tc>
          <w:tcPr>
            <w:tcW w:w="1095" w:type="dxa"/>
            <w:noWrap w:val="0"/>
            <w:vAlign w:val="center"/>
          </w:tcPr>
          <w:p>
            <w:pPr>
              <w:pStyle w:val="14"/>
              <w:rPr>
                <w:rFonts w:hint="default" w:eastAsia="方正书宋_GBK"/>
                <w:color w:val="auto"/>
                <w:highlight w:val="none"/>
                <w:lang w:val="en-US" w:eastAsia="zh-CN"/>
              </w:rPr>
            </w:pPr>
            <w:r>
              <w:rPr>
                <w:rFonts w:hint="eastAsia"/>
                <w:color w:val="auto"/>
                <w:highlight w:val="none"/>
                <w:lang w:val="en-US" w:eastAsia="zh-CN"/>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4</w:t>
            </w:r>
          </w:p>
        </w:tc>
        <w:tc>
          <w:tcPr>
            <w:tcW w:w="1095" w:type="dxa"/>
            <w:noWrap w:val="0"/>
            <w:vAlign w:val="center"/>
          </w:tcPr>
          <w:p>
            <w:pPr>
              <w:pStyle w:val="15"/>
            </w:pPr>
            <w:r>
              <w:t>2070101</w:t>
            </w:r>
          </w:p>
        </w:tc>
        <w:tc>
          <w:tcPr>
            <w:tcW w:w="1095" w:type="dxa"/>
            <w:noWrap w:val="0"/>
            <w:vAlign w:val="center"/>
          </w:tcPr>
          <w:p>
            <w:pPr>
              <w:pStyle w:val="15"/>
            </w:pPr>
            <w:r>
              <w:t>行政运行</w:t>
            </w:r>
          </w:p>
        </w:tc>
        <w:tc>
          <w:tcPr>
            <w:tcW w:w="1095" w:type="dxa"/>
            <w:noWrap w:val="0"/>
            <w:vAlign w:val="center"/>
          </w:tcPr>
          <w:p>
            <w:pPr>
              <w:pStyle w:val="14"/>
              <w:ind w:firstLine="0" w:firstLineChars="0"/>
            </w:pPr>
            <w:r>
              <w:rPr>
                <w:rFonts w:hint="eastAsia" w:ascii="方正书宋_GBK" w:hAnsi="方正书宋_GBK" w:eastAsia="方正书宋_GBK" w:cs="方正书宋_GBK"/>
                <w:color w:val="auto"/>
                <w:sz w:val="21"/>
                <w:szCs w:val="24"/>
                <w:lang w:val="en-US" w:eastAsia="zh-CN" w:bidi="ar-SA"/>
              </w:rPr>
              <w:t>323.71</w:t>
            </w:r>
          </w:p>
        </w:tc>
        <w:tc>
          <w:tcPr>
            <w:tcW w:w="1095" w:type="dxa"/>
            <w:noWrap w:val="0"/>
            <w:vAlign w:val="center"/>
          </w:tcPr>
          <w:p>
            <w:pPr>
              <w:pStyle w:val="14"/>
              <w:rPr>
                <w:highlight w:val="yellow"/>
              </w:rPr>
            </w:pPr>
            <w:r>
              <w:rPr>
                <w:rFonts w:hint="eastAsia" w:ascii="方正书宋_GBK" w:hAnsi="方正书宋_GBK" w:eastAsia="方正书宋_GBK" w:cs="方正书宋_GBK"/>
                <w:color w:val="auto"/>
                <w:sz w:val="21"/>
                <w:szCs w:val="24"/>
                <w:lang w:val="en-US" w:eastAsia="zh-CN" w:bidi="ar-SA"/>
              </w:rPr>
              <w:t>323.71</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5</w:t>
            </w:r>
          </w:p>
        </w:tc>
        <w:tc>
          <w:tcPr>
            <w:tcW w:w="1095" w:type="dxa"/>
            <w:noWrap w:val="0"/>
            <w:vAlign w:val="center"/>
          </w:tcPr>
          <w:p>
            <w:pPr>
              <w:pStyle w:val="15"/>
            </w:pPr>
            <w:r>
              <w:t>2070199</w:t>
            </w:r>
          </w:p>
        </w:tc>
        <w:tc>
          <w:tcPr>
            <w:tcW w:w="1095" w:type="dxa"/>
            <w:noWrap w:val="0"/>
            <w:vAlign w:val="center"/>
          </w:tcPr>
          <w:p>
            <w:pPr>
              <w:pStyle w:val="15"/>
            </w:pPr>
            <w:r>
              <w:t>其他文化和旅游支出</w:t>
            </w:r>
          </w:p>
        </w:tc>
        <w:tc>
          <w:tcPr>
            <w:tcW w:w="1095" w:type="dxa"/>
            <w:noWrap w:val="0"/>
            <w:vAlign w:val="center"/>
          </w:tcPr>
          <w:p>
            <w:pPr>
              <w:pStyle w:val="14"/>
              <w:ind w:firstLine="0" w:firstLineChars="0"/>
            </w:pPr>
            <w:r>
              <w:rPr>
                <w:rFonts w:hint="eastAsia" w:ascii="方正书宋_GBK" w:hAnsi="方正书宋_GBK" w:eastAsia="方正书宋_GBK" w:cs="方正书宋_GBK"/>
                <w:color w:val="auto"/>
                <w:sz w:val="21"/>
                <w:szCs w:val="24"/>
                <w:lang w:val="en-US" w:eastAsia="zh-CN" w:bidi="ar-SA"/>
              </w:rPr>
              <w:t>1028.70</w:t>
            </w:r>
          </w:p>
        </w:tc>
        <w:tc>
          <w:tcPr>
            <w:tcW w:w="1095" w:type="dxa"/>
            <w:noWrap w:val="0"/>
            <w:vAlign w:val="center"/>
          </w:tcPr>
          <w:p>
            <w:pPr>
              <w:pStyle w:val="14"/>
              <w:rPr>
                <w:highlight w:val="yellow"/>
              </w:rPr>
            </w:pPr>
          </w:p>
        </w:tc>
        <w:tc>
          <w:tcPr>
            <w:tcW w:w="1095" w:type="dxa"/>
            <w:noWrap w:val="0"/>
            <w:vAlign w:val="center"/>
          </w:tcPr>
          <w:p>
            <w:pPr>
              <w:pStyle w:val="14"/>
              <w:rPr>
                <w:highlight w:val="yellow"/>
              </w:rPr>
            </w:pPr>
            <w:r>
              <w:rPr>
                <w:rFonts w:hint="eastAsia" w:ascii="方正书宋_GBK" w:hAnsi="方正书宋_GBK" w:eastAsia="方正书宋_GBK" w:cs="方正书宋_GBK"/>
                <w:color w:val="auto"/>
                <w:sz w:val="21"/>
                <w:szCs w:val="24"/>
                <w:lang w:val="en-US" w:eastAsia="zh-CN" w:bidi="ar-SA"/>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6</w:t>
            </w:r>
          </w:p>
        </w:tc>
        <w:tc>
          <w:tcPr>
            <w:tcW w:w="1095" w:type="dxa"/>
            <w:noWrap w:val="0"/>
            <w:vAlign w:val="center"/>
          </w:tcPr>
          <w:p>
            <w:pPr>
              <w:pStyle w:val="15"/>
            </w:pPr>
            <w:r>
              <w:t>208</w:t>
            </w:r>
          </w:p>
        </w:tc>
        <w:tc>
          <w:tcPr>
            <w:tcW w:w="1095" w:type="dxa"/>
            <w:noWrap w:val="0"/>
            <w:vAlign w:val="center"/>
          </w:tcPr>
          <w:p>
            <w:pPr>
              <w:pStyle w:val="15"/>
            </w:pPr>
            <w:r>
              <w:t>社会保障和就业支出</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rPr>
                <w:highlight w:val="yellow"/>
              </w:rPr>
            </w:pPr>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7</w:t>
            </w:r>
          </w:p>
        </w:tc>
        <w:tc>
          <w:tcPr>
            <w:tcW w:w="1095" w:type="dxa"/>
            <w:noWrap w:val="0"/>
            <w:vAlign w:val="center"/>
          </w:tcPr>
          <w:p>
            <w:pPr>
              <w:pStyle w:val="15"/>
            </w:pPr>
            <w:r>
              <w:t>20805</w:t>
            </w:r>
          </w:p>
        </w:tc>
        <w:tc>
          <w:tcPr>
            <w:tcW w:w="1095" w:type="dxa"/>
            <w:noWrap w:val="0"/>
            <w:vAlign w:val="center"/>
          </w:tcPr>
          <w:p>
            <w:pPr>
              <w:pStyle w:val="15"/>
            </w:pPr>
            <w:r>
              <w:t>行政事业单位养老支出</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rPr>
                <w:highlight w:val="yellow"/>
              </w:rPr>
            </w:pPr>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8</w:t>
            </w:r>
          </w:p>
        </w:tc>
        <w:tc>
          <w:tcPr>
            <w:tcW w:w="1095" w:type="dxa"/>
            <w:noWrap w:val="0"/>
            <w:vAlign w:val="center"/>
          </w:tcPr>
          <w:p>
            <w:pPr>
              <w:pStyle w:val="15"/>
            </w:pPr>
            <w:r>
              <w:t>2080505</w:t>
            </w:r>
          </w:p>
        </w:tc>
        <w:tc>
          <w:tcPr>
            <w:tcW w:w="1095" w:type="dxa"/>
            <w:noWrap w:val="0"/>
            <w:vAlign w:val="center"/>
          </w:tcPr>
          <w:p>
            <w:pPr>
              <w:pStyle w:val="15"/>
            </w:pPr>
            <w:r>
              <w:t>机关事业单位基本养老保险缴费支出</w:t>
            </w:r>
          </w:p>
        </w:tc>
        <w:tc>
          <w:tcPr>
            <w:tcW w:w="1095" w:type="dxa"/>
            <w:noWrap w:val="0"/>
            <w:vAlign w:val="center"/>
          </w:tcPr>
          <w:p>
            <w:pPr>
              <w:pStyle w:val="14"/>
              <w:ind w:firstLine="0" w:firstLineChars="0"/>
            </w:pPr>
            <w:r>
              <w:rPr>
                <w:rFonts w:hint="eastAsia"/>
                <w:color w:val="auto"/>
                <w:lang w:val="en-US" w:eastAsia="zh-CN"/>
              </w:rPr>
              <w:t>40.29</w:t>
            </w:r>
          </w:p>
        </w:tc>
        <w:tc>
          <w:tcPr>
            <w:tcW w:w="1095" w:type="dxa"/>
            <w:noWrap w:val="0"/>
            <w:vAlign w:val="center"/>
          </w:tcPr>
          <w:p>
            <w:pPr>
              <w:pStyle w:val="14"/>
              <w:ind w:firstLine="0" w:firstLineChars="0"/>
            </w:pPr>
            <w:r>
              <w:rPr>
                <w:rFonts w:hint="eastAsia"/>
                <w:color w:val="auto"/>
                <w:lang w:val="en-US" w:eastAsia="zh-CN"/>
              </w:rPr>
              <w:t>40.29</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9</w:t>
            </w:r>
          </w:p>
        </w:tc>
        <w:tc>
          <w:tcPr>
            <w:tcW w:w="1095" w:type="dxa"/>
            <w:noWrap w:val="0"/>
            <w:vAlign w:val="center"/>
          </w:tcPr>
          <w:p>
            <w:pPr>
              <w:pStyle w:val="15"/>
            </w:pPr>
            <w:r>
              <w:t>2080506</w:t>
            </w:r>
          </w:p>
        </w:tc>
        <w:tc>
          <w:tcPr>
            <w:tcW w:w="1095" w:type="dxa"/>
            <w:noWrap w:val="0"/>
            <w:vAlign w:val="center"/>
          </w:tcPr>
          <w:p>
            <w:pPr>
              <w:pStyle w:val="15"/>
            </w:pPr>
            <w:r>
              <w:t>机关事业单位职业年金缴费支出</w:t>
            </w:r>
          </w:p>
        </w:tc>
        <w:tc>
          <w:tcPr>
            <w:tcW w:w="1095" w:type="dxa"/>
            <w:noWrap w:val="0"/>
            <w:vAlign w:val="center"/>
          </w:tcPr>
          <w:p>
            <w:pPr>
              <w:pStyle w:val="14"/>
              <w:ind w:firstLine="0" w:firstLineChars="0"/>
            </w:pPr>
            <w:r>
              <w:rPr>
                <w:rFonts w:hint="eastAsia"/>
                <w:color w:val="auto"/>
                <w:lang w:val="en-US" w:eastAsia="zh-CN"/>
              </w:rPr>
              <w:t>20.14</w:t>
            </w:r>
          </w:p>
        </w:tc>
        <w:tc>
          <w:tcPr>
            <w:tcW w:w="1095" w:type="dxa"/>
            <w:noWrap w:val="0"/>
            <w:vAlign w:val="center"/>
          </w:tcPr>
          <w:p>
            <w:pPr>
              <w:pStyle w:val="14"/>
              <w:ind w:firstLine="0" w:firstLineChars="0"/>
            </w:pPr>
            <w:r>
              <w:rPr>
                <w:rFonts w:hint="eastAsia"/>
                <w:color w:val="auto"/>
                <w:lang w:val="en-US" w:eastAsia="zh-CN"/>
              </w:rPr>
              <w:t>20.14</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10</w:t>
            </w:r>
          </w:p>
        </w:tc>
        <w:tc>
          <w:tcPr>
            <w:tcW w:w="1095" w:type="dxa"/>
            <w:noWrap w:val="0"/>
            <w:vAlign w:val="center"/>
          </w:tcPr>
          <w:p>
            <w:pPr>
              <w:pStyle w:val="15"/>
            </w:pPr>
            <w:r>
              <w:t>210</w:t>
            </w:r>
          </w:p>
        </w:tc>
        <w:tc>
          <w:tcPr>
            <w:tcW w:w="1095" w:type="dxa"/>
            <w:noWrap w:val="0"/>
            <w:vAlign w:val="center"/>
          </w:tcPr>
          <w:p>
            <w:pPr>
              <w:pStyle w:val="15"/>
            </w:pPr>
            <w:r>
              <w:t>卫生健康支出</w:t>
            </w:r>
          </w:p>
        </w:tc>
        <w:tc>
          <w:tcPr>
            <w:tcW w:w="1095" w:type="dxa"/>
            <w:noWrap w:val="0"/>
            <w:vAlign w:val="center"/>
          </w:tcPr>
          <w:p>
            <w:r>
              <w:rPr>
                <w:rFonts w:hint="eastAsia"/>
              </w:rPr>
              <w:t>46.41</w:t>
            </w:r>
          </w:p>
        </w:tc>
        <w:tc>
          <w:tcPr>
            <w:tcW w:w="1095" w:type="dxa"/>
            <w:noWrap w:val="0"/>
            <w:vAlign w:val="center"/>
          </w:tcPr>
          <w:p>
            <w:r>
              <w:rPr>
                <w:rFonts w:hint="eastAsia"/>
              </w:rPr>
              <w:t>46.41</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11</w:t>
            </w:r>
          </w:p>
        </w:tc>
        <w:tc>
          <w:tcPr>
            <w:tcW w:w="1095" w:type="dxa"/>
            <w:noWrap w:val="0"/>
            <w:vAlign w:val="center"/>
          </w:tcPr>
          <w:p>
            <w:pPr>
              <w:pStyle w:val="15"/>
            </w:pPr>
            <w:r>
              <w:t>21011</w:t>
            </w:r>
          </w:p>
        </w:tc>
        <w:tc>
          <w:tcPr>
            <w:tcW w:w="1095" w:type="dxa"/>
            <w:noWrap w:val="0"/>
            <w:vAlign w:val="center"/>
          </w:tcPr>
          <w:p>
            <w:pPr>
              <w:pStyle w:val="15"/>
            </w:pPr>
            <w:r>
              <w:t>行政事业单位医疗</w:t>
            </w:r>
          </w:p>
        </w:tc>
        <w:tc>
          <w:tcPr>
            <w:tcW w:w="1095" w:type="dxa"/>
            <w:noWrap w:val="0"/>
            <w:vAlign w:val="center"/>
          </w:tcPr>
          <w:p>
            <w:r>
              <w:rPr>
                <w:rFonts w:hint="eastAsia"/>
              </w:rPr>
              <w:t>46.41</w:t>
            </w:r>
          </w:p>
        </w:tc>
        <w:tc>
          <w:tcPr>
            <w:tcW w:w="1095" w:type="dxa"/>
            <w:noWrap w:val="0"/>
            <w:vAlign w:val="center"/>
          </w:tcPr>
          <w:p>
            <w:r>
              <w:rPr>
                <w:rFonts w:hint="eastAsia"/>
              </w:rPr>
              <w:t>46.41</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12</w:t>
            </w:r>
          </w:p>
        </w:tc>
        <w:tc>
          <w:tcPr>
            <w:tcW w:w="1095" w:type="dxa"/>
            <w:noWrap w:val="0"/>
            <w:vAlign w:val="center"/>
          </w:tcPr>
          <w:p>
            <w:pPr>
              <w:pStyle w:val="15"/>
            </w:pPr>
            <w:r>
              <w:t>2101101</w:t>
            </w:r>
          </w:p>
        </w:tc>
        <w:tc>
          <w:tcPr>
            <w:tcW w:w="1095" w:type="dxa"/>
            <w:noWrap w:val="0"/>
            <w:vAlign w:val="center"/>
          </w:tcPr>
          <w:p>
            <w:pPr>
              <w:pStyle w:val="15"/>
            </w:pPr>
            <w:r>
              <w:t>行政单位医疗</w:t>
            </w:r>
          </w:p>
        </w:tc>
        <w:tc>
          <w:tcPr>
            <w:tcW w:w="1095" w:type="dxa"/>
            <w:noWrap w:val="0"/>
            <w:vAlign w:val="center"/>
          </w:tcPr>
          <w:p>
            <w:pPr>
              <w:pStyle w:val="14"/>
              <w:ind w:firstLine="0" w:firstLineChars="0"/>
            </w:pPr>
            <w:r>
              <w:rPr>
                <w:rFonts w:hint="eastAsia"/>
                <w:color w:val="auto"/>
                <w:lang w:val="en-US" w:eastAsia="zh-CN"/>
              </w:rPr>
              <w:t>18.26</w:t>
            </w:r>
          </w:p>
        </w:tc>
        <w:tc>
          <w:tcPr>
            <w:tcW w:w="1095" w:type="dxa"/>
            <w:noWrap w:val="0"/>
            <w:vAlign w:val="center"/>
          </w:tcPr>
          <w:p>
            <w:pPr>
              <w:pStyle w:val="14"/>
              <w:ind w:firstLine="0" w:firstLineChars="0"/>
            </w:pPr>
            <w:r>
              <w:rPr>
                <w:rFonts w:hint="eastAsia"/>
                <w:color w:val="auto"/>
                <w:lang w:val="en-US" w:eastAsia="zh-CN"/>
              </w:rPr>
              <w:t>18.26</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13</w:t>
            </w:r>
          </w:p>
        </w:tc>
        <w:tc>
          <w:tcPr>
            <w:tcW w:w="1095" w:type="dxa"/>
            <w:noWrap w:val="0"/>
            <w:vAlign w:val="center"/>
          </w:tcPr>
          <w:p>
            <w:pPr>
              <w:pStyle w:val="15"/>
            </w:pPr>
            <w:r>
              <w:t>2101103</w:t>
            </w:r>
          </w:p>
        </w:tc>
        <w:tc>
          <w:tcPr>
            <w:tcW w:w="1095" w:type="dxa"/>
            <w:noWrap w:val="0"/>
            <w:vAlign w:val="center"/>
          </w:tcPr>
          <w:p>
            <w:pPr>
              <w:pStyle w:val="15"/>
            </w:pPr>
            <w:r>
              <w:t>公务员医疗补助</w:t>
            </w:r>
          </w:p>
        </w:tc>
        <w:tc>
          <w:tcPr>
            <w:tcW w:w="1095" w:type="dxa"/>
            <w:noWrap w:val="0"/>
            <w:vAlign w:val="center"/>
          </w:tcPr>
          <w:p>
            <w:pPr>
              <w:pStyle w:val="14"/>
              <w:ind w:firstLine="0" w:firstLineChars="0"/>
            </w:pPr>
            <w:r>
              <w:rPr>
                <w:rFonts w:hint="eastAsia"/>
                <w:color w:val="auto"/>
                <w:lang w:val="en-US" w:eastAsia="zh-CN"/>
              </w:rPr>
              <w:t>28.15</w:t>
            </w:r>
          </w:p>
        </w:tc>
        <w:tc>
          <w:tcPr>
            <w:tcW w:w="1095" w:type="dxa"/>
            <w:noWrap w:val="0"/>
            <w:vAlign w:val="center"/>
          </w:tcPr>
          <w:p>
            <w:pPr>
              <w:pStyle w:val="14"/>
              <w:ind w:firstLine="0" w:firstLineChars="0"/>
            </w:pPr>
            <w:r>
              <w:rPr>
                <w:rFonts w:hint="eastAsia"/>
                <w:color w:val="auto"/>
                <w:lang w:val="en-US" w:eastAsia="zh-CN"/>
              </w:rPr>
              <w:t>28.15</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14</w:t>
            </w:r>
          </w:p>
        </w:tc>
        <w:tc>
          <w:tcPr>
            <w:tcW w:w="1095" w:type="dxa"/>
            <w:noWrap w:val="0"/>
            <w:vAlign w:val="center"/>
          </w:tcPr>
          <w:p>
            <w:pPr>
              <w:pStyle w:val="15"/>
            </w:pPr>
            <w:r>
              <w:t>221</w:t>
            </w:r>
          </w:p>
        </w:tc>
        <w:tc>
          <w:tcPr>
            <w:tcW w:w="1095" w:type="dxa"/>
            <w:noWrap w:val="0"/>
            <w:vAlign w:val="center"/>
          </w:tcPr>
          <w:p>
            <w:pPr>
              <w:pStyle w:val="15"/>
            </w:pPr>
            <w:r>
              <w:t>住房保障支出</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15</w:t>
            </w:r>
          </w:p>
        </w:tc>
        <w:tc>
          <w:tcPr>
            <w:tcW w:w="1095" w:type="dxa"/>
            <w:noWrap w:val="0"/>
            <w:vAlign w:val="center"/>
          </w:tcPr>
          <w:p>
            <w:pPr>
              <w:pStyle w:val="15"/>
            </w:pPr>
            <w:r>
              <w:t>22102</w:t>
            </w:r>
          </w:p>
        </w:tc>
        <w:tc>
          <w:tcPr>
            <w:tcW w:w="1095" w:type="dxa"/>
            <w:noWrap w:val="0"/>
            <w:vAlign w:val="center"/>
          </w:tcPr>
          <w:p>
            <w:pPr>
              <w:pStyle w:val="15"/>
            </w:pPr>
            <w:r>
              <w:t>住房改革支出</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16</w:t>
            </w:r>
          </w:p>
        </w:tc>
        <w:tc>
          <w:tcPr>
            <w:tcW w:w="1095" w:type="dxa"/>
            <w:noWrap w:val="0"/>
            <w:vAlign w:val="center"/>
          </w:tcPr>
          <w:p>
            <w:pPr>
              <w:pStyle w:val="15"/>
            </w:pPr>
            <w:r>
              <w:t>2210201</w:t>
            </w:r>
          </w:p>
        </w:tc>
        <w:tc>
          <w:tcPr>
            <w:tcW w:w="1095" w:type="dxa"/>
            <w:noWrap w:val="0"/>
            <w:vAlign w:val="center"/>
          </w:tcPr>
          <w:p>
            <w:pPr>
              <w:pStyle w:val="15"/>
            </w:pPr>
            <w:r>
              <w:t>住房公积金</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1232"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13"/>
            </w:pPr>
            <w:r>
              <w:t>序号</w:t>
            </w:r>
          </w:p>
        </w:tc>
        <w:tc>
          <w:tcPr>
            <w:tcW w:w="2464" w:type="dxa"/>
            <w:gridSpan w:val="2"/>
            <w:noWrap w:val="0"/>
            <w:vAlign w:val="center"/>
          </w:tcPr>
          <w:p>
            <w:pPr>
              <w:pStyle w:val="13"/>
            </w:pPr>
            <w:r>
              <w:t>收入</w:t>
            </w:r>
          </w:p>
        </w:tc>
        <w:tc>
          <w:tcPr>
            <w:tcW w:w="6160"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13"/>
            </w:pPr>
            <w:r>
              <w:t>项  目</w:t>
            </w:r>
          </w:p>
        </w:tc>
        <w:tc>
          <w:tcPr>
            <w:tcW w:w="1232" w:type="dxa"/>
            <w:noWrap w:val="0"/>
            <w:vAlign w:val="center"/>
          </w:tcPr>
          <w:p>
            <w:pPr>
              <w:pStyle w:val="13"/>
            </w:pPr>
            <w:r>
              <w:t>金额</w:t>
            </w:r>
          </w:p>
        </w:tc>
        <w:tc>
          <w:tcPr>
            <w:tcW w:w="1232" w:type="dxa"/>
            <w:noWrap w:val="0"/>
            <w:vAlign w:val="center"/>
          </w:tcPr>
          <w:p>
            <w:pPr>
              <w:pStyle w:val="13"/>
            </w:pPr>
            <w:r>
              <w:t>项  目</w:t>
            </w:r>
          </w:p>
        </w:tc>
        <w:tc>
          <w:tcPr>
            <w:tcW w:w="1232" w:type="dxa"/>
            <w:noWrap w:val="0"/>
            <w:vAlign w:val="center"/>
          </w:tcPr>
          <w:p>
            <w:pPr>
              <w:pStyle w:val="13"/>
            </w:pPr>
            <w:r>
              <w:t>合计</w:t>
            </w:r>
          </w:p>
        </w:tc>
        <w:tc>
          <w:tcPr>
            <w:tcW w:w="1232" w:type="dxa"/>
            <w:noWrap w:val="0"/>
            <w:vAlign w:val="center"/>
          </w:tcPr>
          <w:p>
            <w:pPr>
              <w:pStyle w:val="13"/>
            </w:pPr>
            <w:r>
              <w:t>一般公共预算财政拨款</w:t>
            </w:r>
          </w:p>
        </w:tc>
        <w:tc>
          <w:tcPr>
            <w:tcW w:w="1232" w:type="dxa"/>
            <w:noWrap w:val="0"/>
            <w:vAlign w:val="center"/>
          </w:tcPr>
          <w:p>
            <w:pPr>
              <w:pStyle w:val="13"/>
            </w:pPr>
            <w:r>
              <w:t>政府性基金预算财政    拨款</w:t>
            </w:r>
          </w:p>
        </w:tc>
        <w:tc>
          <w:tcPr>
            <w:tcW w:w="1232"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3"/>
            </w:pPr>
            <w:r>
              <w:t>栏次</w:t>
            </w:r>
          </w:p>
        </w:tc>
        <w:tc>
          <w:tcPr>
            <w:tcW w:w="1232" w:type="dxa"/>
            <w:noWrap w:val="0"/>
            <w:vAlign w:val="center"/>
          </w:tcPr>
          <w:p>
            <w:pPr>
              <w:pStyle w:val="13"/>
            </w:pPr>
            <w:r>
              <w:t>1</w:t>
            </w:r>
          </w:p>
        </w:tc>
        <w:tc>
          <w:tcPr>
            <w:tcW w:w="1232" w:type="dxa"/>
            <w:noWrap w:val="0"/>
            <w:vAlign w:val="center"/>
          </w:tcPr>
          <w:p>
            <w:pPr>
              <w:pStyle w:val="13"/>
            </w:pPr>
            <w:r>
              <w:t>2</w:t>
            </w:r>
          </w:p>
        </w:tc>
        <w:tc>
          <w:tcPr>
            <w:tcW w:w="1232" w:type="dxa"/>
            <w:noWrap w:val="0"/>
            <w:vAlign w:val="center"/>
          </w:tcPr>
          <w:p>
            <w:pPr>
              <w:pStyle w:val="13"/>
            </w:pPr>
            <w:r>
              <w:t>3</w:t>
            </w:r>
          </w:p>
        </w:tc>
        <w:tc>
          <w:tcPr>
            <w:tcW w:w="1232" w:type="dxa"/>
            <w:noWrap w:val="0"/>
            <w:vAlign w:val="center"/>
          </w:tcPr>
          <w:p>
            <w:pPr>
              <w:pStyle w:val="13"/>
            </w:pPr>
            <w:r>
              <w:t>4</w:t>
            </w:r>
          </w:p>
        </w:tc>
        <w:tc>
          <w:tcPr>
            <w:tcW w:w="1232" w:type="dxa"/>
            <w:noWrap w:val="0"/>
            <w:vAlign w:val="center"/>
          </w:tcPr>
          <w:p>
            <w:pPr>
              <w:pStyle w:val="13"/>
            </w:pPr>
            <w:r>
              <w:t>5</w:t>
            </w:r>
          </w:p>
        </w:tc>
        <w:tc>
          <w:tcPr>
            <w:tcW w:w="1232" w:type="dxa"/>
            <w:noWrap w:val="0"/>
            <w:vAlign w:val="center"/>
          </w:tcPr>
          <w:p>
            <w:pPr>
              <w:pStyle w:val="13"/>
            </w:pPr>
            <w:r>
              <w:t>6</w:t>
            </w:r>
          </w:p>
        </w:tc>
        <w:tc>
          <w:tcPr>
            <w:tcW w:w="1232"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w:t>
            </w:r>
          </w:p>
        </w:tc>
        <w:tc>
          <w:tcPr>
            <w:tcW w:w="1232" w:type="dxa"/>
            <w:noWrap w:val="0"/>
            <w:vAlign w:val="center"/>
          </w:tcPr>
          <w:p>
            <w:pPr>
              <w:pStyle w:val="15"/>
            </w:pPr>
            <w:r>
              <w:t>一、一般公共预算拨款</w:t>
            </w:r>
          </w:p>
        </w:tc>
        <w:tc>
          <w:tcPr>
            <w:tcW w:w="1232" w:type="dxa"/>
            <w:noWrap w:val="0"/>
            <w:vAlign w:val="center"/>
          </w:tcPr>
          <w:p>
            <w:pPr>
              <w:pStyle w:val="14"/>
            </w:pPr>
            <w:r>
              <w:rPr>
                <w:rFonts w:hint="eastAsia"/>
              </w:rPr>
              <w:t>1,525.73</w:t>
            </w:r>
          </w:p>
        </w:tc>
        <w:tc>
          <w:tcPr>
            <w:tcW w:w="1232" w:type="dxa"/>
            <w:noWrap w:val="0"/>
            <w:vAlign w:val="center"/>
          </w:tcPr>
          <w:p>
            <w:pPr>
              <w:pStyle w:val="15"/>
            </w:pPr>
            <w:r>
              <w:t>一、一般公共服务支出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w:t>
            </w:r>
          </w:p>
        </w:tc>
        <w:tc>
          <w:tcPr>
            <w:tcW w:w="1232" w:type="dxa"/>
            <w:noWrap w:val="0"/>
            <w:vAlign w:val="center"/>
          </w:tcPr>
          <w:p>
            <w:pPr>
              <w:pStyle w:val="15"/>
            </w:pPr>
            <w:r>
              <w:t>二、政府性基金预算拨款</w:t>
            </w:r>
          </w:p>
        </w:tc>
        <w:tc>
          <w:tcPr>
            <w:tcW w:w="1232" w:type="dxa"/>
            <w:noWrap w:val="0"/>
            <w:vAlign w:val="center"/>
          </w:tcPr>
          <w:p>
            <w:pPr>
              <w:pStyle w:val="14"/>
            </w:pPr>
          </w:p>
        </w:tc>
        <w:tc>
          <w:tcPr>
            <w:tcW w:w="1232" w:type="dxa"/>
            <w:noWrap w:val="0"/>
            <w:vAlign w:val="center"/>
          </w:tcPr>
          <w:p>
            <w:pPr>
              <w:pStyle w:val="15"/>
            </w:pPr>
            <w:r>
              <w:t>二、外交支出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w:t>
            </w:r>
          </w:p>
        </w:tc>
        <w:tc>
          <w:tcPr>
            <w:tcW w:w="1232" w:type="dxa"/>
            <w:noWrap w:val="0"/>
            <w:vAlign w:val="center"/>
          </w:tcPr>
          <w:p>
            <w:pPr>
              <w:pStyle w:val="15"/>
            </w:pPr>
            <w:r>
              <w:t>三、国有资本经营预算拨款</w:t>
            </w:r>
          </w:p>
        </w:tc>
        <w:tc>
          <w:tcPr>
            <w:tcW w:w="1232" w:type="dxa"/>
            <w:noWrap w:val="0"/>
            <w:vAlign w:val="center"/>
          </w:tcPr>
          <w:p>
            <w:pPr>
              <w:pStyle w:val="14"/>
            </w:pPr>
          </w:p>
        </w:tc>
        <w:tc>
          <w:tcPr>
            <w:tcW w:w="1232" w:type="dxa"/>
            <w:noWrap w:val="0"/>
            <w:vAlign w:val="center"/>
          </w:tcPr>
          <w:p>
            <w:pPr>
              <w:pStyle w:val="15"/>
            </w:pPr>
            <w:r>
              <w:t>三、国防支出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四、公共安全支出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五、教育支出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六、科学技术支出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七、文化旅游体育与传媒支出</w:t>
            </w:r>
          </w:p>
        </w:tc>
        <w:tc>
          <w:tcPr>
            <w:tcW w:w="1232" w:type="dxa"/>
            <w:noWrap w:val="0"/>
            <w:vAlign w:val="center"/>
          </w:tcPr>
          <w:p>
            <w:r>
              <w:rPr>
                <w:rFonts w:hint="eastAsia"/>
              </w:rPr>
              <w:t>1,388.67</w:t>
            </w:r>
          </w:p>
        </w:tc>
        <w:tc>
          <w:tcPr>
            <w:tcW w:w="1232" w:type="dxa"/>
            <w:noWrap w:val="0"/>
            <w:vAlign w:val="center"/>
          </w:tcPr>
          <w:p>
            <w:r>
              <w:rPr>
                <w:rFonts w:hint="eastAsia"/>
              </w:rPr>
              <w:t>1,388.67</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八、社会保障和就业支出</w:t>
            </w:r>
          </w:p>
        </w:tc>
        <w:tc>
          <w:tcPr>
            <w:tcW w:w="1232" w:type="dxa"/>
            <w:noWrap w:val="0"/>
            <w:vAlign w:val="center"/>
          </w:tcPr>
          <w:p>
            <w:r>
              <w:rPr>
                <w:rFonts w:hint="eastAsia"/>
              </w:rPr>
              <w:t>60.43</w:t>
            </w:r>
          </w:p>
        </w:tc>
        <w:tc>
          <w:tcPr>
            <w:tcW w:w="1232" w:type="dxa"/>
            <w:noWrap w:val="0"/>
            <w:vAlign w:val="center"/>
          </w:tcPr>
          <w:p>
            <w:r>
              <w:rPr>
                <w:rFonts w:hint="eastAsia"/>
              </w:rPr>
              <w:t>60.43</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九、社会保险基金支出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十、卫生健康支出</w:t>
            </w:r>
          </w:p>
        </w:tc>
        <w:tc>
          <w:tcPr>
            <w:tcW w:w="1232" w:type="dxa"/>
            <w:noWrap w:val="0"/>
            <w:vAlign w:val="center"/>
          </w:tcPr>
          <w:p>
            <w:r>
              <w:rPr>
                <w:rFonts w:hint="eastAsia"/>
              </w:rPr>
              <w:t>46.41</w:t>
            </w:r>
          </w:p>
        </w:tc>
        <w:tc>
          <w:tcPr>
            <w:tcW w:w="1232" w:type="dxa"/>
            <w:noWrap w:val="0"/>
            <w:vAlign w:val="center"/>
          </w:tcPr>
          <w:p>
            <w:r>
              <w:rPr>
                <w:rFonts w:hint="eastAsia"/>
              </w:rPr>
              <w:t>46.41</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11</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十一、节能环保支出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12</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十二、城乡社区支出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13</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十三、农林水支出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十四、交通运输支出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十五、资源勘探工业信息等支出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十六、商业服务业等支出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十七、金融支出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十八、援助其他地区支出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十九、自然资源海洋气象等支出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二十、住房保障支出</w:t>
            </w:r>
          </w:p>
        </w:tc>
        <w:tc>
          <w:tcPr>
            <w:tcW w:w="1232" w:type="dxa"/>
            <w:noWrap w:val="0"/>
            <w:vAlign w:val="center"/>
          </w:tcPr>
          <w:p>
            <w:r>
              <w:rPr>
                <w:rFonts w:hint="eastAsia"/>
              </w:rPr>
              <w:t>30.22</w:t>
            </w:r>
          </w:p>
        </w:tc>
        <w:tc>
          <w:tcPr>
            <w:tcW w:w="1232" w:type="dxa"/>
            <w:noWrap w:val="0"/>
            <w:vAlign w:val="center"/>
          </w:tcPr>
          <w:p>
            <w:r>
              <w:rPr>
                <w:rFonts w:hint="eastAsia"/>
              </w:rPr>
              <w:t>30.22</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21</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二十一、粮油物资储备支出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22</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二十二、国有资本经营预算支出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23</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二十三、灾害防治及应急管理支出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二十四、预备费</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二十五、其他支出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二十六、转移性支出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二十七、债务还本支出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二十八、债务付息支出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二十九、债务发行费用支出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三十、抗疫特别国债安排的支出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31</w:t>
            </w:r>
          </w:p>
        </w:tc>
        <w:tc>
          <w:tcPr>
            <w:tcW w:w="1232" w:type="dxa"/>
            <w:noWrap w:val="0"/>
            <w:vAlign w:val="center"/>
          </w:tcPr>
          <w:p>
            <w:pPr>
              <w:pStyle w:val="17"/>
            </w:pPr>
            <w:r>
              <w:t>本年收入合计</w:t>
            </w:r>
          </w:p>
        </w:tc>
        <w:tc>
          <w:tcPr>
            <w:tcW w:w="1232" w:type="dxa"/>
            <w:noWrap w:val="0"/>
            <w:vAlign w:val="center"/>
          </w:tcPr>
          <w:p>
            <w:pPr>
              <w:pStyle w:val="18"/>
            </w:pPr>
            <w:r>
              <w:rPr>
                <w:rFonts w:hint="eastAsia"/>
              </w:rPr>
              <w:t>1,525.73</w:t>
            </w:r>
          </w:p>
        </w:tc>
        <w:tc>
          <w:tcPr>
            <w:tcW w:w="1232" w:type="dxa"/>
            <w:noWrap w:val="0"/>
            <w:vAlign w:val="center"/>
          </w:tcPr>
          <w:p>
            <w:pPr>
              <w:pStyle w:val="17"/>
            </w:pPr>
            <w:r>
              <w:t>本年支出合计</w:t>
            </w:r>
          </w:p>
        </w:tc>
        <w:tc>
          <w:tcPr>
            <w:tcW w:w="1232" w:type="dxa"/>
            <w:noWrap w:val="0"/>
            <w:vAlign w:val="center"/>
          </w:tcPr>
          <w:p>
            <w:r>
              <w:rPr>
                <w:rFonts w:hint="eastAsia"/>
              </w:rPr>
              <w:t>1,525.73</w:t>
            </w:r>
          </w:p>
        </w:tc>
        <w:tc>
          <w:tcPr>
            <w:tcW w:w="1232" w:type="dxa"/>
            <w:noWrap w:val="0"/>
            <w:vAlign w:val="center"/>
          </w:tcPr>
          <w:p>
            <w:r>
              <w:rPr>
                <w:rFonts w:hint="eastAsia"/>
              </w:rPr>
              <w:t>1,525.73</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32</w:t>
            </w:r>
          </w:p>
        </w:tc>
        <w:tc>
          <w:tcPr>
            <w:tcW w:w="1232" w:type="dxa"/>
            <w:noWrap w:val="0"/>
            <w:vAlign w:val="center"/>
          </w:tcPr>
          <w:p>
            <w:pPr>
              <w:pStyle w:val="15"/>
            </w:pPr>
            <w:r>
              <w:t>年初财政拨款结转和结余</w:t>
            </w:r>
          </w:p>
        </w:tc>
        <w:tc>
          <w:tcPr>
            <w:tcW w:w="1232" w:type="dxa"/>
            <w:noWrap w:val="0"/>
            <w:vAlign w:val="center"/>
          </w:tcPr>
          <w:p>
            <w:pPr>
              <w:pStyle w:val="14"/>
            </w:pPr>
          </w:p>
        </w:tc>
        <w:tc>
          <w:tcPr>
            <w:tcW w:w="1232" w:type="dxa"/>
            <w:noWrap w:val="0"/>
            <w:vAlign w:val="center"/>
          </w:tcPr>
          <w:p>
            <w:pPr>
              <w:pStyle w:val="15"/>
            </w:pPr>
            <w:r>
              <w:t>年末财政拨款结转和结余</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33</w:t>
            </w:r>
          </w:p>
        </w:tc>
        <w:tc>
          <w:tcPr>
            <w:tcW w:w="1232" w:type="dxa"/>
            <w:noWrap w:val="0"/>
            <w:vAlign w:val="center"/>
          </w:tcPr>
          <w:p>
            <w:pPr>
              <w:pStyle w:val="15"/>
            </w:pPr>
            <w:r>
              <w:t>一、一般公共预算拨款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34</w:t>
            </w:r>
          </w:p>
        </w:tc>
        <w:tc>
          <w:tcPr>
            <w:tcW w:w="1232" w:type="dxa"/>
            <w:noWrap w:val="0"/>
            <w:vAlign w:val="center"/>
          </w:tcPr>
          <w:p>
            <w:pPr>
              <w:pStyle w:val="15"/>
            </w:pPr>
            <w:r>
              <w:t>二、政府性基金预算拨款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35</w:t>
            </w:r>
          </w:p>
        </w:tc>
        <w:tc>
          <w:tcPr>
            <w:tcW w:w="1232" w:type="dxa"/>
            <w:noWrap w:val="0"/>
            <w:vAlign w:val="center"/>
          </w:tcPr>
          <w:p>
            <w:pPr>
              <w:pStyle w:val="15"/>
            </w:pPr>
            <w:r>
              <w:t>三、国有资本经营预算拨款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36</w:t>
            </w:r>
          </w:p>
        </w:tc>
        <w:tc>
          <w:tcPr>
            <w:tcW w:w="1232" w:type="dxa"/>
            <w:noWrap w:val="0"/>
            <w:vAlign w:val="center"/>
          </w:tcPr>
          <w:p>
            <w:pPr>
              <w:pStyle w:val="17"/>
            </w:pPr>
            <w:r>
              <w:t>收入总计</w:t>
            </w:r>
          </w:p>
        </w:tc>
        <w:tc>
          <w:tcPr>
            <w:tcW w:w="1232" w:type="dxa"/>
            <w:noWrap w:val="0"/>
            <w:vAlign w:val="center"/>
          </w:tcPr>
          <w:p>
            <w:pPr>
              <w:pStyle w:val="18"/>
            </w:pPr>
            <w:r>
              <w:rPr>
                <w:rFonts w:hint="eastAsia"/>
              </w:rPr>
              <w:t>1,525.73</w:t>
            </w:r>
          </w:p>
        </w:tc>
        <w:tc>
          <w:tcPr>
            <w:tcW w:w="1232" w:type="dxa"/>
            <w:noWrap w:val="0"/>
            <w:vAlign w:val="center"/>
          </w:tcPr>
          <w:p>
            <w:pPr>
              <w:pStyle w:val="17"/>
            </w:pPr>
            <w:r>
              <w:t>支出总计</w:t>
            </w:r>
          </w:p>
        </w:tc>
        <w:tc>
          <w:tcPr>
            <w:tcW w:w="1232" w:type="dxa"/>
            <w:noWrap w:val="0"/>
            <w:vAlign w:val="center"/>
          </w:tcPr>
          <w:p>
            <w:r>
              <w:rPr>
                <w:rFonts w:hint="eastAsia"/>
              </w:rPr>
              <w:t>1,525.73</w:t>
            </w:r>
          </w:p>
        </w:tc>
        <w:tc>
          <w:tcPr>
            <w:tcW w:w="1232" w:type="dxa"/>
            <w:noWrap w:val="0"/>
            <w:vAlign w:val="center"/>
          </w:tcPr>
          <w:p>
            <w:r>
              <w:rPr>
                <w:rFonts w:hint="eastAsia"/>
              </w:rPr>
              <w:t>1,525.73</w:t>
            </w:r>
          </w:p>
        </w:tc>
        <w:tc>
          <w:tcPr>
            <w:tcW w:w="1232" w:type="dxa"/>
            <w:noWrap w:val="0"/>
            <w:vAlign w:val="center"/>
          </w:tcPr>
          <w:p>
            <w:pPr>
              <w:pStyle w:val="18"/>
            </w:pPr>
          </w:p>
        </w:tc>
        <w:tc>
          <w:tcPr>
            <w:tcW w:w="1232" w:type="dxa"/>
            <w:noWrap w:val="0"/>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ind w:firstLine="0" w:firstLineChars="0"/>
            </w:pPr>
            <w:r>
              <w:rPr>
                <w:rFonts w:hint="eastAsia"/>
              </w:rPr>
              <w:t>1,525.73</w:t>
            </w:r>
          </w:p>
        </w:tc>
        <w:tc>
          <w:tcPr>
            <w:tcW w:w="2551" w:type="dxa"/>
            <w:noWrap w:val="0"/>
            <w:vAlign w:val="center"/>
          </w:tcPr>
          <w:p>
            <w:pPr>
              <w:pStyle w:val="18"/>
              <w:ind w:firstLine="0" w:firstLineChars="0"/>
            </w:pPr>
            <w:r>
              <w:rPr>
                <w:rFonts w:ascii="方正书宋_GBK" w:eastAsia="方正书宋_GBK"/>
              </w:rPr>
              <w:t>497.03</w:t>
            </w:r>
          </w:p>
        </w:tc>
        <w:tc>
          <w:tcPr>
            <w:tcW w:w="2551" w:type="dxa"/>
            <w:noWrap w:val="0"/>
            <w:vAlign w:val="center"/>
          </w:tcPr>
          <w:p>
            <w:pPr>
              <w:pStyle w:val="18"/>
              <w:ind w:firstLine="0" w:firstLineChars="0"/>
            </w:pPr>
            <w:r>
              <w:rPr>
                <w:rFonts w:ascii="方正书宋_GBK" w:eastAsia="方正书宋_GBK"/>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207</w:t>
            </w:r>
          </w:p>
        </w:tc>
        <w:tc>
          <w:tcPr>
            <w:tcW w:w="4535" w:type="dxa"/>
            <w:noWrap w:val="0"/>
            <w:vAlign w:val="center"/>
          </w:tcPr>
          <w:p>
            <w:pPr>
              <w:pStyle w:val="15"/>
            </w:pPr>
            <w:r>
              <w:t>文化旅游体育与传媒支出</w:t>
            </w:r>
          </w:p>
        </w:tc>
        <w:tc>
          <w:tcPr>
            <w:tcW w:w="2551" w:type="dxa"/>
            <w:noWrap w:val="0"/>
            <w:vAlign w:val="center"/>
          </w:tcPr>
          <w:p>
            <w:pPr>
              <w:jc w:val="center"/>
            </w:pPr>
            <w:r>
              <w:rPr>
                <w:rFonts w:hint="eastAsia"/>
              </w:rPr>
              <w:t>1,388.67</w:t>
            </w:r>
          </w:p>
        </w:tc>
        <w:tc>
          <w:tcPr>
            <w:tcW w:w="2551" w:type="dxa"/>
            <w:noWrap w:val="0"/>
            <w:vAlign w:val="center"/>
          </w:tcPr>
          <w:p>
            <w:pPr>
              <w:pStyle w:val="14"/>
              <w:ind w:firstLine="0" w:firstLineChars="0"/>
              <w:jc w:val="center"/>
            </w:pPr>
            <w:r>
              <w:rPr>
                <w:rFonts w:hint="eastAsia"/>
                <w:color w:val="auto"/>
                <w:highlight w:val="none"/>
                <w:lang w:val="en-US" w:eastAsia="zh-CN"/>
              </w:rPr>
              <w:t>359.97</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highlight w:val="none"/>
                <w:lang w:val="en-US" w:eastAsia="zh-CN" w:bidi="ar-SA"/>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20701</w:t>
            </w:r>
          </w:p>
        </w:tc>
        <w:tc>
          <w:tcPr>
            <w:tcW w:w="4535" w:type="dxa"/>
            <w:noWrap w:val="0"/>
            <w:vAlign w:val="center"/>
          </w:tcPr>
          <w:p>
            <w:pPr>
              <w:pStyle w:val="15"/>
            </w:pPr>
            <w:r>
              <w:t>文化和旅游</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1,388.67</w:t>
            </w:r>
          </w:p>
        </w:tc>
        <w:tc>
          <w:tcPr>
            <w:tcW w:w="2551" w:type="dxa"/>
            <w:noWrap w:val="0"/>
            <w:vAlign w:val="center"/>
          </w:tcPr>
          <w:p>
            <w:pPr>
              <w:pStyle w:val="14"/>
              <w:ind w:firstLine="0" w:firstLineChars="0"/>
              <w:jc w:val="center"/>
            </w:pPr>
            <w:r>
              <w:rPr>
                <w:rFonts w:hint="eastAsia"/>
                <w:color w:val="auto"/>
                <w:highlight w:val="none"/>
                <w:lang w:val="en-US" w:eastAsia="zh-CN"/>
              </w:rPr>
              <w:t>359.97</w:t>
            </w:r>
          </w:p>
        </w:tc>
        <w:tc>
          <w:tcPr>
            <w:tcW w:w="2551" w:type="dxa"/>
            <w:noWrap w:val="0"/>
            <w:vAlign w:val="center"/>
          </w:tcPr>
          <w:p>
            <w:pPr>
              <w:pStyle w:val="14"/>
              <w:ind w:firstLine="0" w:firstLineChars="0"/>
              <w:jc w:val="center"/>
            </w:pPr>
            <w:r>
              <w:rPr>
                <w:rFonts w:hint="eastAsia"/>
                <w:color w:val="auto"/>
                <w:highlight w:val="none"/>
                <w:lang w:val="en-US" w:eastAsia="zh-CN"/>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2070101</w:t>
            </w:r>
          </w:p>
        </w:tc>
        <w:tc>
          <w:tcPr>
            <w:tcW w:w="4535" w:type="dxa"/>
            <w:noWrap w:val="0"/>
            <w:vAlign w:val="center"/>
          </w:tcPr>
          <w:p>
            <w:pPr>
              <w:pStyle w:val="15"/>
            </w:pPr>
            <w:r>
              <w:t>行政运行</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323.71</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323.71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2070199</w:t>
            </w:r>
          </w:p>
        </w:tc>
        <w:tc>
          <w:tcPr>
            <w:tcW w:w="4535" w:type="dxa"/>
            <w:noWrap w:val="0"/>
            <w:vAlign w:val="center"/>
          </w:tcPr>
          <w:p>
            <w:pPr>
              <w:pStyle w:val="15"/>
            </w:pPr>
            <w:r>
              <w:t>其他文化和旅游支出</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1028.70</w:t>
            </w:r>
          </w:p>
        </w:tc>
        <w:tc>
          <w:tcPr>
            <w:tcW w:w="2551" w:type="dxa"/>
            <w:noWrap w:val="0"/>
            <w:vAlign w:val="center"/>
          </w:tcPr>
          <w:p>
            <w:pPr>
              <w:pStyle w:val="14"/>
              <w:ind w:firstLine="0" w:firstLineChars="0"/>
              <w:jc w:val="center"/>
            </w:pP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4"/>
              <w:ind w:firstLine="0" w:firstLineChars="0"/>
              <w:jc w:val="center"/>
            </w:pPr>
            <w:r>
              <w:rPr>
                <w:rFonts w:hint="eastAsia"/>
                <w:color w:val="auto"/>
                <w:lang w:val="en-US" w:eastAsia="zh-CN"/>
              </w:rPr>
              <w:t>40.29</w:t>
            </w:r>
          </w:p>
        </w:tc>
        <w:tc>
          <w:tcPr>
            <w:tcW w:w="2551" w:type="dxa"/>
            <w:noWrap w:val="0"/>
            <w:vAlign w:val="center"/>
          </w:tcPr>
          <w:p>
            <w:pPr>
              <w:pStyle w:val="14"/>
              <w:ind w:firstLine="0" w:firstLineChars="0"/>
              <w:jc w:val="center"/>
            </w:pPr>
            <w:r>
              <w:rPr>
                <w:rFonts w:hint="eastAsia"/>
                <w:color w:val="auto"/>
                <w:lang w:val="en-US" w:eastAsia="zh-CN"/>
              </w:rPr>
              <w:t>40.29</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4"/>
              <w:ind w:firstLine="0" w:firstLineChars="0"/>
              <w:jc w:val="center"/>
            </w:pPr>
            <w:r>
              <w:rPr>
                <w:rFonts w:hint="eastAsia"/>
                <w:color w:val="auto"/>
                <w:lang w:val="en-US" w:eastAsia="zh-CN"/>
              </w:rPr>
              <w:t>20.14</w:t>
            </w:r>
          </w:p>
        </w:tc>
        <w:tc>
          <w:tcPr>
            <w:tcW w:w="2551" w:type="dxa"/>
            <w:noWrap w:val="0"/>
            <w:vAlign w:val="center"/>
          </w:tcPr>
          <w:p>
            <w:pPr>
              <w:pStyle w:val="14"/>
              <w:ind w:firstLine="0" w:firstLineChars="0"/>
              <w:jc w:val="center"/>
            </w:pPr>
            <w:r>
              <w:rPr>
                <w:rFonts w:hint="eastAsia"/>
                <w:color w:val="auto"/>
                <w:lang w:val="en-US" w:eastAsia="zh-CN"/>
              </w:rPr>
              <w:t>20.14</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jc w:val="center"/>
            </w:pPr>
            <w:r>
              <w:rPr>
                <w:rFonts w:hint="eastAsia"/>
              </w:rPr>
              <w:t>46.41</w:t>
            </w:r>
          </w:p>
        </w:tc>
        <w:tc>
          <w:tcPr>
            <w:tcW w:w="2551" w:type="dxa"/>
            <w:noWrap w:val="0"/>
            <w:vAlign w:val="center"/>
          </w:tcPr>
          <w:p>
            <w:pPr>
              <w:jc w:val="center"/>
            </w:pPr>
            <w:r>
              <w:rPr>
                <w:rFonts w:hint="eastAsia"/>
              </w:rPr>
              <w:t>46.41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jc w:val="center"/>
            </w:pPr>
            <w:r>
              <w:rPr>
                <w:rFonts w:hint="eastAsia"/>
              </w:rPr>
              <w:t>46.41</w:t>
            </w:r>
          </w:p>
        </w:tc>
        <w:tc>
          <w:tcPr>
            <w:tcW w:w="2551" w:type="dxa"/>
            <w:noWrap w:val="0"/>
            <w:vAlign w:val="center"/>
          </w:tcPr>
          <w:p>
            <w:pPr>
              <w:jc w:val="center"/>
            </w:pPr>
            <w:r>
              <w:rPr>
                <w:rFonts w:hint="eastAsia"/>
              </w:rPr>
              <w:t>46.41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2101101</w:t>
            </w:r>
          </w:p>
        </w:tc>
        <w:tc>
          <w:tcPr>
            <w:tcW w:w="4535" w:type="dxa"/>
            <w:noWrap w:val="0"/>
            <w:vAlign w:val="center"/>
          </w:tcPr>
          <w:p>
            <w:pPr>
              <w:pStyle w:val="15"/>
            </w:pPr>
            <w:r>
              <w:t>行政单位医疗</w:t>
            </w:r>
          </w:p>
        </w:tc>
        <w:tc>
          <w:tcPr>
            <w:tcW w:w="2551" w:type="dxa"/>
            <w:noWrap w:val="0"/>
            <w:vAlign w:val="center"/>
          </w:tcPr>
          <w:p>
            <w:pPr>
              <w:pStyle w:val="14"/>
              <w:ind w:firstLine="0" w:firstLineChars="0"/>
              <w:jc w:val="center"/>
            </w:pPr>
            <w:r>
              <w:rPr>
                <w:rFonts w:hint="eastAsia"/>
                <w:color w:val="auto"/>
                <w:lang w:val="en-US" w:eastAsia="zh-CN"/>
              </w:rPr>
              <w:t>18.26</w:t>
            </w:r>
          </w:p>
        </w:tc>
        <w:tc>
          <w:tcPr>
            <w:tcW w:w="2551" w:type="dxa"/>
            <w:noWrap w:val="0"/>
            <w:vAlign w:val="center"/>
          </w:tcPr>
          <w:p>
            <w:pPr>
              <w:pStyle w:val="14"/>
              <w:ind w:firstLine="0" w:firstLineChars="0"/>
              <w:jc w:val="center"/>
            </w:pPr>
            <w:r>
              <w:rPr>
                <w:rFonts w:hint="eastAsia"/>
                <w:color w:val="auto"/>
                <w:lang w:val="en-US" w:eastAsia="zh-CN"/>
              </w:rPr>
              <w:t>18.26</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2101103</w:t>
            </w:r>
          </w:p>
        </w:tc>
        <w:tc>
          <w:tcPr>
            <w:tcW w:w="4535" w:type="dxa"/>
            <w:noWrap w:val="0"/>
            <w:vAlign w:val="center"/>
          </w:tcPr>
          <w:p>
            <w:pPr>
              <w:pStyle w:val="15"/>
            </w:pPr>
            <w:r>
              <w:t>公务员医疗补助</w:t>
            </w:r>
          </w:p>
        </w:tc>
        <w:tc>
          <w:tcPr>
            <w:tcW w:w="2551" w:type="dxa"/>
            <w:noWrap w:val="0"/>
            <w:vAlign w:val="center"/>
          </w:tcPr>
          <w:p>
            <w:pPr>
              <w:pStyle w:val="14"/>
              <w:ind w:firstLine="0" w:firstLineChars="0"/>
              <w:jc w:val="center"/>
            </w:pPr>
            <w:r>
              <w:rPr>
                <w:rFonts w:hint="eastAsia"/>
                <w:color w:val="auto"/>
                <w:lang w:val="en-US" w:eastAsia="zh-CN"/>
              </w:rPr>
              <w:t>28.15</w:t>
            </w:r>
          </w:p>
        </w:tc>
        <w:tc>
          <w:tcPr>
            <w:tcW w:w="2551" w:type="dxa"/>
            <w:noWrap w:val="0"/>
            <w:vAlign w:val="center"/>
          </w:tcPr>
          <w:p>
            <w:pPr>
              <w:pStyle w:val="14"/>
              <w:ind w:firstLine="0" w:firstLineChars="0"/>
              <w:jc w:val="center"/>
            </w:pPr>
            <w:r>
              <w:rPr>
                <w:rFonts w:hint="eastAsia"/>
                <w:color w:val="auto"/>
                <w:lang w:val="en-US" w:eastAsia="zh-CN"/>
              </w:rPr>
              <w:t>28.15</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支出部门经济分类科目</w:t>
            </w:r>
          </w:p>
        </w:tc>
        <w:tc>
          <w:tcPr>
            <w:tcW w:w="4929"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noWrap w:val="0"/>
            <w:vAlign w:val="center"/>
          </w:tcPr>
          <w:p>
            <w:pPr>
              <w:pStyle w:val="13"/>
            </w:pPr>
            <w:r>
              <w:t>合计</w:t>
            </w:r>
          </w:p>
        </w:tc>
        <w:tc>
          <w:tcPr>
            <w:tcW w:w="1643" w:type="dxa"/>
            <w:noWrap w:val="0"/>
            <w:vAlign w:val="center"/>
          </w:tcPr>
          <w:p>
            <w:pPr>
              <w:pStyle w:val="13"/>
            </w:pPr>
            <w:r>
              <w:t>人员经费</w:t>
            </w:r>
          </w:p>
        </w:tc>
        <w:tc>
          <w:tcPr>
            <w:tcW w:w="1643"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w:t>
            </w:r>
          </w:p>
        </w:tc>
        <w:tc>
          <w:tcPr>
            <w:tcW w:w="1643" w:type="dxa"/>
            <w:noWrap w:val="0"/>
            <w:vAlign w:val="center"/>
          </w:tcPr>
          <w:p>
            <w:pPr>
              <w:pStyle w:val="19"/>
            </w:pPr>
          </w:p>
        </w:tc>
        <w:tc>
          <w:tcPr>
            <w:tcW w:w="1643" w:type="dxa"/>
            <w:noWrap w:val="0"/>
            <w:vAlign w:val="center"/>
          </w:tcPr>
          <w:p>
            <w:pPr>
              <w:pStyle w:val="17"/>
            </w:pPr>
            <w:r>
              <w:t>合计</w:t>
            </w:r>
          </w:p>
        </w:tc>
        <w:tc>
          <w:tcPr>
            <w:tcW w:w="1643" w:type="dxa"/>
            <w:noWrap w:val="0"/>
            <w:vAlign w:val="center"/>
          </w:tcPr>
          <w:p>
            <w:pPr>
              <w:pStyle w:val="18"/>
              <w:rPr>
                <w:rFonts w:hint="default" w:eastAsia="方正书宋_GBK"/>
                <w:lang w:val="en-US" w:eastAsia="zh-CN"/>
              </w:rPr>
            </w:pPr>
            <w:r>
              <w:rPr>
                <w:rFonts w:hint="eastAsia"/>
                <w:lang w:val="en-US" w:eastAsia="zh-CN"/>
              </w:rPr>
              <w:t>497.03</w:t>
            </w:r>
          </w:p>
        </w:tc>
        <w:tc>
          <w:tcPr>
            <w:tcW w:w="1643" w:type="dxa"/>
            <w:noWrap w:val="0"/>
            <w:vAlign w:val="center"/>
          </w:tcPr>
          <w:p>
            <w:pPr>
              <w:pStyle w:val="18"/>
            </w:pPr>
            <w:r>
              <w:rPr>
                <w:rFonts w:ascii="方正书宋_GBK" w:eastAsia="方正书宋_GBK"/>
              </w:rPr>
              <w:t>457.73</w:t>
            </w:r>
          </w:p>
        </w:tc>
        <w:tc>
          <w:tcPr>
            <w:tcW w:w="1643" w:type="dxa"/>
            <w:noWrap w:val="0"/>
            <w:vAlign w:val="center"/>
          </w:tcPr>
          <w:p>
            <w:pPr>
              <w:pStyle w:val="18"/>
            </w:pPr>
            <w:r>
              <w:rPr>
                <w:rFonts w:ascii="方正书宋_GBK" w:eastAsia="方正书宋_GBK"/>
              </w:rP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w:t>
            </w:r>
          </w:p>
        </w:tc>
        <w:tc>
          <w:tcPr>
            <w:tcW w:w="1643" w:type="dxa"/>
            <w:noWrap w:val="0"/>
            <w:vAlign w:val="center"/>
          </w:tcPr>
          <w:p>
            <w:pPr>
              <w:pStyle w:val="15"/>
            </w:pPr>
            <w:r>
              <w:t>301</w:t>
            </w:r>
          </w:p>
        </w:tc>
        <w:tc>
          <w:tcPr>
            <w:tcW w:w="1643" w:type="dxa"/>
            <w:noWrap w:val="0"/>
            <w:vAlign w:val="center"/>
          </w:tcPr>
          <w:p>
            <w:pPr>
              <w:pStyle w:val="15"/>
            </w:pPr>
            <w:r>
              <w:t>工资福利支出</w:t>
            </w:r>
          </w:p>
        </w:tc>
        <w:tc>
          <w:tcPr>
            <w:tcW w:w="1643" w:type="dxa"/>
            <w:noWrap w:val="0"/>
            <w:vAlign w:val="center"/>
          </w:tcPr>
          <w:p>
            <w:pPr>
              <w:spacing w:line="300" w:lineRule="exact"/>
              <w:jc w:val="right"/>
            </w:pPr>
            <w:r>
              <w:rPr>
                <w:rFonts w:ascii="方正书宋_GBK" w:eastAsia="方正书宋_GBK"/>
              </w:rPr>
              <w:t>453.68</w:t>
            </w:r>
          </w:p>
        </w:tc>
        <w:tc>
          <w:tcPr>
            <w:tcW w:w="1643" w:type="dxa"/>
            <w:noWrap w:val="0"/>
            <w:vAlign w:val="center"/>
          </w:tcPr>
          <w:p>
            <w:pPr>
              <w:spacing w:line="300" w:lineRule="exact"/>
              <w:jc w:val="right"/>
            </w:pPr>
            <w:r>
              <w:rPr>
                <w:rFonts w:ascii="方正书宋_GBK" w:eastAsia="方正书宋_GBK"/>
              </w:rPr>
              <w:t>453.68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w:t>
            </w:r>
          </w:p>
        </w:tc>
        <w:tc>
          <w:tcPr>
            <w:tcW w:w="1643" w:type="dxa"/>
            <w:noWrap w:val="0"/>
            <w:vAlign w:val="center"/>
          </w:tcPr>
          <w:p>
            <w:pPr>
              <w:pStyle w:val="15"/>
            </w:pPr>
            <w:r>
              <w:t>30101</w:t>
            </w:r>
          </w:p>
        </w:tc>
        <w:tc>
          <w:tcPr>
            <w:tcW w:w="1643" w:type="dxa"/>
            <w:noWrap w:val="0"/>
            <w:vAlign w:val="center"/>
          </w:tcPr>
          <w:p>
            <w:pPr>
              <w:pStyle w:val="15"/>
            </w:pPr>
            <w:r>
              <w:t>基本工资</w:t>
            </w:r>
          </w:p>
        </w:tc>
        <w:tc>
          <w:tcPr>
            <w:tcW w:w="1643" w:type="dxa"/>
            <w:noWrap w:val="0"/>
            <w:vAlign w:val="center"/>
          </w:tcPr>
          <w:p>
            <w:pPr>
              <w:spacing w:line="300" w:lineRule="exact"/>
              <w:jc w:val="right"/>
            </w:pPr>
            <w:r>
              <w:rPr>
                <w:rFonts w:ascii="方正书宋_GBK" w:eastAsia="方正书宋_GBK"/>
                <w:highlight w:val="none"/>
              </w:rPr>
              <w:t>119.30</w:t>
            </w:r>
          </w:p>
        </w:tc>
        <w:tc>
          <w:tcPr>
            <w:tcW w:w="1643" w:type="dxa"/>
            <w:noWrap w:val="0"/>
            <w:vAlign w:val="center"/>
          </w:tcPr>
          <w:p>
            <w:pPr>
              <w:spacing w:line="300" w:lineRule="exact"/>
              <w:jc w:val="right"/>
            </w:pPr>
            <w:r>
              <w:rPr>
                <w:rFonts w:ascii="方正书宋_GBK" w:eastAsia="方正书宋_GBK"/>
                <w:highlight w:val="none"/>
              </w:rPr>
              <w:t>119.30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4</w:t>
            </w:r>
          </w:p>
        </w:tc>
        <w:tc>
          <w:tcPr>
            <w:tcW w:w="1643" w:type="dxa"/>
            <w:noWrap w:val="0"/>
            <w:vAlign w:val="center"/>
          </w:tcPr>
          <w:p>
            <w:pPr>
              <w:pStyle w:val="15"/>
            </w:pPr>
            <w:r>
              <w:t>30102</w:t>
            </w:r>
          </w:p>
        </w:tc>
        <w:tc>
          <w:tcPr>
            <w:tcW w:w="1643" w:type="dxa"/>
            <w:noWrap w:val="0"/>
            <w:vAlign w:val="center"/>
          </w:tcPr>
          <w:p>
            <w:pPr>
              <w:pStyle w:val="15"/>
            </w:pPr>
            <w:r>
              <w:t>津贴补贴</w:t>
            </w:r>
          </w:p>
        </w:tc>
        <w:tc>
          <w:tcPr>
            <w:tcW w:w="1643" w:type="dxa"/>
            <w:noWrap w:val="0"/>
            <w:vAlign w:val="center"/>
          </w:tcPr>
          <w:p>
            <w:pPr>
              <w:spacing w:line="300" w:lineRule="exact"/>
              <w:jc w:val="right"/>
            </w:pPr>
            <w:r>
              <w:rPr>
                <w:rFonts w:ascii="方正书宋_GBK" w:eastAsia="方正书宋_GBK"/>
                <w:highlight w:val="none"/>
              </w:rPr>
              <w:t>53.82</w:t>
            </w:r>
          </w:p>
        </w:tc>
        <w:tc>
          <w:tcPr>
            <w:tcW w:w="1643" w:type="dxa"/>
            <w:noWrap w:val="0"/>
            <w:vAlign w:val="center"/>
          </w:tcPr>
          <w:p>
            <w:pPr>
              <w:spacing w:line="300" w:lineRule="exact"/>
              <w:jc w:val="right"/>
            </w:pPr>
            <w:r>
              <w:rPr>
                <w:rFonts w:ascii="方正书宋_GBK" w:eastAsia="方正书宋_GBK"/>
                <w:highlight w:val="none"/>
              </w:rPr>
              <w:t>53.82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5</w:t>
            </w:r>
          </w:p>
        </w:tc>
        <w:tc>
          <w:tcPr>
            <w:tcW w:w="1643" w:type="dxa"/>
            <w:noWrap w:val="0"/>
            <w:vAlign w:val="center"/>
          </w:tcPr>
          <w:p>
            <w:pPr>
              <w:pStyle w:val="15"/>
            </w:pPr>
            <w:r>
              <w:t>30103</w:t>
            </w:r>
          </w:p>
        </w:tc>
        <w:tc>
          <w:tcPr>
            <w:tcW w:w="1643" w:type="dxa"/>
            <w:noWrap w:val="0"/>
            <w:vAlign w:val="center"/>
          </w:tcPr>
          <w:p>
            <w:pPr>
              <w:pStyle w:val="15"/>
            </w:pPr>
            <w:r>
              <w:t>奖金</w:t>
            </w:r>
          </w:p>
        </w:tc>
        <w:tc>
          <w:tcPr>
            <w:tcW w:w="1643" w:type="dxa"/>
            <w:noWrap w:val="0"/>
            <w:vAlign w:val="center"/>
          </w:tcPr>
          <w:p>
            <w:pPr>
              <w:spacing w:line="300" w:lineRule="exact"/>
              <w:jc w:val="right"/>
            </w:pPr>
            <w:r>
              <w:rPr>
                <w:rFonts w:ascii="方正书宋_GBK" w:eastAsia="方正书宋_GBK"/>
                <w:highlight w:val="none"/>
              </w:rPr>
              <w:t>4.14</w:t>
            </w:r>
          </w:p>
        </w:tc>
        <w:tc>
          <w:tcPr>
            <w:tcW w:w="1643" w:type="dxa"/>
            <w:noWrap w:val="0"/>
            <w:vAlign w:val="center"/>
          </w:tcPr>
          <w:p>
            <w:pPr>
              <w:spacing w:line="300" w:lineRule="exact"/>
              <w:jc w:val="right"/>
            </w:pPr>
            <w:r>
              <w:rPr>
                <w:rFonts w:ascii="方正书宋_GBK" w:eastAsia="方正书宋_GBK"/>
                <w:highlight w:val="none"/>
              </w:rPr>
              <w:t>4.14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6</w:t>
            </w:r>
          </w:p>
        </w:tc>
        <w:tc>
          <w:tcPr>
            <w:tcW w:w="1643" w:type="dxa"/>
            <w:noWrap w:val="0"/>
            <w:vAlign w:val="center"/>
          </w:tcPr>
          <w:p>
            <w:pPr>
              <w:pStyle w:val="15"/>
            </w:pPr>
            <w:r>
              <w:t>30107</w:t>
            </w:r>
          </w:p>
        </w:tc>
        <w:tc>
          <w:tcPr>
            <w:tcW w:w="1643" w:type="dxa"/>
            <w:noWrap w:val="0"/>
            <w:vAlign w:val="center"/>
          </w:tcPr>
          <w:p>
            <w:pPr>
              <w:pStyle w:val="15"/>
            </w:pPr>
            <w:r>
              <w:t>绩效工资</w:t>
            </w:r>
          </w:p>
        </w:tc>
        <w:tc>
          <w:tcPr>
            <w:tcW w:w="1643" w:type="dxa"/>
            <w:noWrap w:val="0"/>
            <w:vAlign w:val="center"/>
          </w:tcPr>
          <w:p>
            <w:pPr>
              <w:spacing w:line="300" w:lineRule="exact"/>
              <w:jc w:val="right"/>
            </w:pPr>
            <w:r>
              <w:rPr>
                <w:rFonts w:ascii="方正书宋_GBK" w:eastAsia="方正书宋_GBK"/>
                <w:highlight w:val="none"/>
              </w:rPr>
              <w:t>81.88</w:t>
            </w:r>
          </w:p>
        </w:tc>
        <w:tc>
          <w:tcPr>
            <w:tcW w:w="1643" w:type="dxa"/>
            <w:noWrap w:val="0"/>
            <w:vAlign w:val="center"/>
          </w:tcPr>
          <w:p>
            <w:pPr>
              <w:spacing w:line="300" w:lineRule="exact"/>
              <w:jc w:val="right"/>
            </w:pPr>
            <w:r>
              <w:rPr>
                <w:rFonts w:ascii="方正书宋_GBK" w:eastAsia="方正书宋_GBK"/>
                <w:highlight w:val="none"/>
              </w:rPr>
              <w:t>81.88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7</w:t>
            </w:r>
          </w:p>
        </w:tc>
        <w:tc>
          <w:tcPr>
            <w:tcW w:w="1643" w:type="dxa"/>
            <w:noWrap w:val="0"/>
            <w:vAlign w:val="center"/>
          </w:tcPr>
          <w:p>
            <w:pPr>
              <w:pStyle w:val="15"/>
            </w:pPr>
            <w:r>
              <w:t>30108</w:t>
            </w:r>
          </w:p>
        </w:tc>
        <w:tc>
          <w:tcPr>
            <w:tcW w:w="1643" w:type="dxa"/>
            <w:noWrap w:val="0"/>
            <w:vAlign w:val="center"/>
          </w:tcPr>
          <w:p>
            <w:pPr>
              <w:pStyle w:val="15"/>
            </w:pPr>
            <w:r>
              <w:t>机关事业单位基本养老保险缴费</w:t>
            </w:r>
          </w:p>
        </w:tc>
        <w:tc>
          <w:tcPr>
            <w:tcW w:w="1643" w:type="dxa"/>
            <w:noWrap w:val="0"/>
            <w:vAlign w:val="center"/>
          </w:tcPr>
          <w:p>
            <w:pPr>
              <w:spacing w:line="300" w:lineRule="exact"/>
              <w:jc w:val="right"/>
            </w:pPr>
            <w:r>
              <w:rPr>
                <w:rFonts w:ascii="方正书宋_GBK" w:eastAsia="方正书宋_GBK"/>
              </w:rPr>
              <w:t>40.29</w:t>
            </w:r>
          </w:p>
        </w:tc>
        <w:tc>
          <w:tcPr>
            <w:tcW w:w="1643" w:type="dxa"/>
            <w:noWrap w:val="0"/>
            <w:vAlign w:val="center"/>
          </w:tcPr>
          <w:p>
            <w:pPr>
              <w:spacing w:line="300" w:lineRule="exact"/>
              <w:jc w:val="right"/>
            </w:pPr>
            <w:r>
              <w:rPr>
                <w:rFonts w:ascii="方正书宋_GBK" w:eastAsia="方正书宋_GBK"/>
              </w:rPr>
              <w:t>40.29</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8</w:t>
            </w:r>
          </w:p>
        </w:tc>
        <w:tc>
          <w:tcPr>
            <w:tcW w:w="1643" w:type="dxa"/>
            <w:noWrap w:val="0"/>
            <w:vAlign w:val="center"/>
          </w:tcPr>
          <w:p>
            <w:pPr>
              <w:pStyle w:val="15"/>
            </w:pPr>
            <w:r>
              <w:t>30109</w:t>
            </w:r>
          </w:p>
        </w:tc>
        <w:tc>
          <w:tcPr>
            <w:tcW w:w="1643" w:type="dxa"/>
            <w:noWrap w:val="0"/>
            <w:vAlign w:val="center"/>
          </w:tcPr>
          <w:p>
            <w:pPr>
              <w:pStyle w:val="15"/>
            </w:pPr>
            <w:r>
              <w:t>职业年金缴费</w:t>
            </w:r>
          </w:p>
        </w:tc>
        <w:tc>
          <w:tcPr>
            <w:tcW w:w="1643" w:type="dxa"/>
            <w:noWrap w:val="0"/>
            <w:vAlign w:val="center"/>
          </w:tcPr>
          <w:p>
            <w:pPr>
              <w:spacing w:line="300" w:lineRule="exact"/>
              <w:jc w:val="right"/>
            </w:pPr>
            <w:r>
              <w:rPr>
                <w:rFonts w:ascii="方正书宋_GBK" w:eastAsia="方正书宋_GBK"/>
              </w:rPr>
              <w:t>20.14</w:t>
            </w:r>
          </w:p>
        </w:tc>
        <w:tc>
          <w:tcPr>
            <w:tcW w:w="1643" w:type="dxa"/>
            <w:noWrap w:val="0"/>
            <w:vAlign w:val="center"/>
          </w:tcPr>
          <w:p>
            <w:pPr>
              <w:spacing w:line="300" w:lineRule="exact"/>
              <w:jc w:val="right"/>
            </w:pPr>
            <w:r>
              <w:rPr>
                <w:rFonts w:ascii="方正书宋_GBK" w:eastAsia="方正书宋_GBK"/>
              </w:rPr>
              <w:t>20.14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9</w:t>
            </w:r>
          </w:p>
        </w:tc>
        <w:tc>
          <w:tcPr>
            <w:tcW w:w="1643" w:type="dxa"/>
            <w:noWrap w:val="0"/>
            <w:vAlign w:val="center"/>
          </w:tcPr>
          <w:p>
            <w:pPr>
              <w:pStyle w:val="15"/>
            </w:pPr>
            <w:r>
              <w:t>30110</w:t>
            </w:r>
          </w:p>
        </w:tc>
        <w:tc>
          <w:tcPr>
            <w:tcW w:w="1643" w:type="dxa"/>
            <w:noWrap w:val="0"/>
            <w:vAlign w:val="center"/>
          </w:tcPr>
          <w:p>
            <w:pPr>
              <w:pStyle w:val="15"/>
            </w:pPr>
            <w:r>
              <w:t>城镇职工基本医疗保险缴费</w:t>
            </w:r>
          </w:p>
        </w:tc>
        <w:tc>
          <w:tcPr>
            <w:tcW w:w="1643" w:type="dxa"/>
            <w:noWrap w:val="0"/>
            <w:vAlign w:val="center"/>
          </w:tcPr>
          <w:p>
            <w:pPr>
              <w:spacing w:line="300" w:lineRule="exact"/>
              <w:jc w:val="right"/>
            </w:pPr>
            <w:r>
              <w:rPr>
                <w:rFonts w:ascii="方正书宋_GBK" w:eastAsia="方正书宋_GBK"/>
              </w:rPr>
              <w:t>18.26</w:t>
            </w:r>
          </w:p>
        </w:tc>
        <w:tc>
          <w:tcPr>
            <w:tcW w:w="1643" w:type="dxa"/>
            <w:noWrap w:val="0"/>
            <w:vAlign w:val="center"/>
          </w:tcPr>
          <w:p>
            <w:pPr>
              <w:spacing w:line="300" w:lineRule="exact"/>
              <w:jc w:val="right"/>
            </w:pPr>
            <w:r>
              <w:rPr>
                <w:rFonts w:ascii="方正书宋_GBK" w:eastAsia="方正书宋_GBK"/>
              </w:rPr>
              <w:t>18.26</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10</w:t>
            </w:r>
          </w:p>
        </w:tc>
        <w:tc>
          <w:tcPr>
            <w:tcW w:w="1643" w:type="dxa"/>
            <w:noWrap w:val="0"/>
            <w:vAlign w:val="center"/>
          </w:tcPr>
          <w:p>
            <w:pPr>
              <w:pStyle w:val="15"/>
            </w:pPr>
            <w:r>
              <w:t>30111</w:t>
            </w:r>
          </w:p>
        </w:tc>
        <w:tc>
          <w:tcPr>
            <w:tcW w:w="1643" w:type="dxa"/>
            <w:noWrap w:val="0"/>
            <w:vAlign w:val="center"/>
          </w:tcPr>
          <w:p>
            <w:pPr>
              <w:pStyle w:val="15"/>
            </w:pPr>
            <w:r>
              <w:t>公务员医疗补助缴费</w:t>
            </w:r>
          </w:p>
        </w:tc>
        <w:tc>
          <w:tcPr>
            <w:tcW w:w="1643" w:type="dxa"/>
            <w:noWrap w:val="0"/>
            <w:vAlign w:val="center"/>
          </w:tcPr>
          <w:p>
            <w:pPr>
              <w:spacing w:line="300" w:lineRule="exact"/>
              <w:jc w:val="right"/>
            </w:pPr>
            <w:r>
              <w:rPr>
                <w:rFonts w:ascii="方正书宋_GBK" w:eastAsia="方正书宋_GBK"/>
              </w:rPr>
              <w:t>28.15</w:t>
            </w:r>
          </w:p>
        </w:tc>
        <w:tc>
          <w:tcPr>
            <w:tcW w:w="1643" w:type="dxa"/>
            <w:noWrap w:val="0"/>
            <w:vAlign w:val="center"/>
          </w:tcPr>
          <w:p>
            <w:pPr>
              <w:spacing w:line="300" w:lineRule="exact"/>
              <w:jc w:val="right"/>
            </w:pPr>
            <w:r>
              <w:rPr>
                <w:rFonts w:ascii="方正书宋_GBK" w:eastAsia="方正书宋_GBK"/>
              </w:rPr>
              <w:t>28.15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11</w:t>
            </w:r>
          </w:p>
        </w:tc>
        <w:tc>
          <w:tcPr>
            <w:tcW w:w="1643" w:type="dxa"/>
            <w:noWrap w:val="0"/>
            <w:vAlign w:val="center"/>
          </w:tcPr>
          <w:p>
            <w:pPr>
              <w:pStyle w:val="15"/>
            </w:pPr>
            <w:r>
              <w:t>30112</w:t>
            </w:r>
          </w:p>
        </w:tc>
        <w:tc>
          <w:tcPr>
            <w:tcW w:w="1643" w:type="dxa"/>
            <w:noWrap w:val="0"/>
            <w:vAlign w:val="center"/>
          </w:tcPr>
          <w:p>
            <w:pPr>
              <w:pStyle w:val="15"/>
            </w:pPr>
            <w:r>
              <w:t>其他社会保障缴费</w:t>
            </w:r>
          </w:p>
        </w:tc>
        <w:tc>
          <w:tcPr>
            <w:tcW w:w="1643" w:type="dxa"/>
            <w:noWrap w:val="0"/>
            <w:vAlign w:val="center"/>
          </w:tcPr>
          <w:p>
            <w:pPr>
              <w:pStyle w:val="14"/>
              <w:rPr>
                <w:rFonts w:hint="default" w:eastAsia="方正书宋_GBK"/>
                <w:lang w:val="en-US" w:eastAsia="zh-CN"/>
              </w:rPr>
            </w:pPr>
            <w:r>
              <w:rPr>
                <w:rFonts w:hint="eastAsia"/>
                <w:lang w:val="en-US" w:eastAsia="zh-CN"/>
              </w:rPr>
              <w:t>2.82</w:t>
            </w:r>
          </w:p>
        </w:tc>
        <w:tc>
          <w:tcPr>
            <w:tcW w:w="1643" w:type="dxa"/>
            <w:noWrap w:val="0"/>
            <w:vAlign w:val="center"/>
          </w:tcPr>
          <w:p>
            <w:pPr>
              <w:pStyle w:val="14"/>
              <w:rPr>
                <w:rFonts w:hint="default" w:eastAsia="方正书宋_GBK"/>
                <w:lang w:val="en-US" w:eastAsia="zh-CN"/>
              </w:rPr>
            </w:pPr>
            <w:r>
              <w:rPr>
                <w:rFonts w:hint="eastAsia"/>
                <w:lang w:val="en-US" w:eastAsia="zh-CN"/>
              </w:rPr>
              <w:t>2.82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12</w:t>
            </w:r>
          </w:p>
        </w:tc>
        <w:tc>
          <w:tcPr>
            <w:tcW w:w="1643" w:type="dxa"/>
            <w:noWrap w:val="0"/>
            <w:vAlign w:val="center"/>
          </w:tcPr>
          <w:p>
            <w:pPr>
              <w:pStyle w:val="15"/>
            </w:pPr>
            <w:r>
              <w:t>30113</w:t>
            </w:r>
          </w:p>
        </w:tc>
        <w:tc>
          <w:tcPr>
            <w:tcW w:w="1643" w:type="dxa"/>
            <w:noWrap w:val="0"/>
            <w:vAlign w:val="center"/>
          </w:tcPr>
          <w:p>
            <w:pPr>
              <w:pStyle w:val="15"/>
            </w:pPr>
            <w:r>
              <w:t>住房公积金</w:t>
            </w:r>
          </w:p>
        </w:tc>
        <w:tc>
          <w:tcPr>
            <w:tcW w:w="1643" w:type="dxa"/>
            <w:noWrap w:val="0"/>
            <w:vAlign w:val="center"/>
          </w:tcPr>
          <w:p>
            <w:pPr>
              <w:spacing w:line="300" w:lineRule="exact"/>
              <w:jc w:val="right"/>
            </w:pPr>
            <w:r>
              <w:rPr>
                <w:rFonts w:ascii="方正书宋_GBK" w:eastAsia="方正书宋_GBK"/>
              </w:rPr>
              <w:t>30.22</w:t>
            </w:r>
          </w:p>
        </w:tc>
        <w:tc>
          <w:tcPr>
            <w:tcW w:w="1643" w:type="dxa"/>
            <w:noWrap w:val="0"/>
            <w:vAlign w:val="center"/>
          </w:tcPr>
          <w:p>
            <w:pPr>
              <w:spacing w:line="300" w:lineRule="exact"/>
              <w:jc w:val="right"/>
            </w:pPr>
            <w:r>
              <w:rPr>
                <w:rFonts w:ascii="方正书宋_GBK" w:eastAsia="方正书宋_GBK"/>
              </w:rPr>
              <w:t>30.22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13</w:t>
            </w:r>
          </w:p>
        </w:tc>
        <w:tc>
          <w:tcPr>
            <w:tcW w:w="1643" w:type="dxa"/>
            <w:noWrap w:val="0"/>
            <w:vAlign w:val="center"/>
          </w:tcPr>
          <w:p>
            <w:pPr>
              <w:pStyle w:val="15"/>
            </w:pPr>
            <w:r>
              <w:t>30199</w:t>
            </w:r>
          </w:p>
        </w:tc>
        <w:tc>
          <w:tcPr>
            <w:tcW w:w="1643" w:type="dxa"/>
            <w:noWrap w:val="0"/>
            <w:vAlign w:val="center"/>
          </w:tcPr>
          <w:p>
            <w:pPr>
              <w:pStyle w:val="15"/>
            </w:pPr>
            <w:r>
              <w:t>其他工资福利支出</w:t>
            </w:r>
          </w:p>
        </w:tc>
        <w:tc>
          <w:tcPr>
            <w:tcW w:w="1643" w:type="dxa"/>
            <w:noWrap w:val="0"/>
            <w:vAlign w:val="center"/>
          </w:tcPr>
          <w:p>
            <w:pPr>
              <w:spacing w:line="300" w:lineRule="exact"/>
              <w:jc w:val="right"/>
            </w:pPr>
            <w:r>
              <w:rPr>
                <w:rFonts w:ascii="方正书宋_GBK" w:eastAsia="方正书宋_GBK"/>
              </w:rPr>
              <w:t>54.66</w:t>
            </w:r>
          </w:p>
        </w:tc>
        <w:tc>
          <w:tcPr>
            <w:tcW w:w="1643" w:type="dxa"/>
            <w:noWrap w:val="0"/>
            <w:vAlign w:val="center"/>
          </w:tcPr>
          <w:p>
            <w:pPr>
              <w:spacing w:line="300" w:lineRule="exact"/>
              <w:jc w:val="right"/>
            </w:pPr>
            <w:r>
              <w:rPr>
                <w:rFonts w:ascii="方正书宋_GBK" w:eastAsia="方正书宋_GBK"/>
              </w:rPr>
              <w:t>54.66</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14</w:t>
            </w:r>
          </w:p>
        </w:tc>
        <w:tc>
          <w:tcPr>
            <w:tcW w:w="1643" w:type="dxa"/>
            <w:noWrap w:val="0"/>
            <w:vAlign w:val="center"/>
          </w:tcPr>
          <w:p>
            <w:pPr>
              <w:pStyle w:val="15"/>
            </w:pPr>
            <w:r>
              <w:t>302</w:t>
            </w:r>
          </w:p>
        </w:tc>
        <w:tc>
          <w:tcPr>
            <w:tcW w:w="1643" w:type="dxa"/>
            <w:noWrap w:val="0"/>
            <w:vAlign w:val="center"/>
          </w:tcPr>
          <w:p>
            <w:pPr>
              <w:pStyle w:val="15"/>
            </w:pPr>
            <w:r>
              <w:t>商品和服务支出</w:t>
            </w:r>
          </w:p>
        </w:tc>
        <w:tc>
          <w:tcPr>
            <w:tcW w:w="1643" w:type="dxa"/>
            <w:noWrap w:val="0"/>
            <w:vAlign w:val="center"/>
          </w:tcPr>
          <w:p>
            <w:pPr>
              <w:spacing w:line="300" w:lineRule="exact"/>
              <w:jc w:val="right"/>
              <w:rPr>
                <w:rFonts w:ascii="方正书宋_GBK" w:hAnsi="Times New Roman" w:eastAsia="方正书宋_GBK" w:cs="Times New Roman"/>
                <w:b/>
                <w:sz w:val="24"/>
                <w:szCs w:val="24"/>
                <w:lang w:val="en-US" w:eastAsia="uk-UA" w:bidi="ar-SA"/>
              </w:rPr>
            </w:pPr>
            <w:r>
              <w:rPr>
                <w:rFonts w:ascii="方正书宋_GBK" w:eastAsia="方正书宋_GBK"/>
                <w:b/>
              </w:rPr>
              <w:t>39.30</w:t>
            </w:r>
          </w:p>
        </w:tc>
        <w:tc>
          <w:tcPr>
            <w:tcW w:w="1643" w:type="dxa"/>
            <w:noWrap w:val="0"/>
            <w:vAlign w:val="center"/>
          </w:tcPr>
          <w:p>
            <w:pPr>
              <w:spacing w:line="300" w:lineRule="exact"/>
              <w:jc w:val="right"/>
              <w:rPr>
                <w:rFonts w:ascii="方正书宋_GBK" w:hAnsi="Times New Roman" w:eastAsia="方正书宋_GBK" w:cs="Times New Roman"/>
                <w:b/>
                <w:sz w:val="24"/>
                <w:szCs w:val="24"/>
                <w:lang w:val="en-US" w:eastAsia="uk-UA" w:bidi="ar-SA"/>
              </w:rPr>
            </w:pPr>
          </w:p>
        </w:tc>
        <w:tc>
          <w:tcPr>
            <w:tcW w:w="1643" w:type="dxa"/>
            <w:noWrap w:val="0"/>
            <w:vAlign w:val="center"/>
          </w:tcPr>
          <w:p>
            <w:pPr>
              <w:pStyle w:val="14"/>
            </w:pPr>
            <w:r>
              <w:rPr>
                <w:rFonts w:ascii="方正书宋_GBK" w:eastAsia="方正书宋_GBK"/>
                <w:b/>
              </w:rP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15</w:t>
            </w:r>
          </w:p>
        </w:tc>
        <w:tc>
          <w:tcPr>
            <w:tcW w:w="1643" w:type="dxa"/>
            <w:noWrap w:val="0"/>
            <w:vAlign w:val="center"/>
          </w:tcPr>
          <w:p>
            <w:pPr>
              <w:pStyle w:val="15"/>
            </w:pPr>
            <w:r>
              <w:t>30201</w:t>
            </w:r>
          </w:p>
        </w:tc>
        <w:tc>
          <w:tcPr>
            <w:tcW w:w="1643" w:type="dxa"/>
            <w:noWrap w:val="0"/>
            <w:vAlign w:val="center"/>
          </w:tcPr>
          <w:p>
            <w:pPr>
              <w:pStyle w:val="15"/>
            </w:pPr>
            <w:r>
              <w:t>办公费</w:t>
            </w:r>
          </w:p>
        </w:tc>
        <w:tc>
          <w:tcPr>
            <w:tcW w:w="1643" w:type="dxa"/>
            <w:noWrap w:val="0"/>
            <w:vAlign w:val="center"/>
          </w:tcPr>
          <w:p>
            <w:pPr>
              <w:pStyle w:val="14"/>
              <w:rPr>
                <w:rFonts w:hint="default" w:eastAsia="方正书宋_GBK"/>
                <w:lang w:val="en-US" w:eastAsia="zh-CN"/>
              </w:rPr>
            </w:pPr>
            <w:r>
              <w:rPr>
                <w:rFonts w:hint="eastAsia"/>
                <w:lang w:val="en-US" w:eastAsia="zh-CN"/>
              </w:rPr>
              <w:t>5.50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16</w:t>
            </w:r>
          </w:p>
        </w:tc>
        <w:tc>
          <w:tcPr>
            <w:tcW w:w="1643" w:type="dxa"/>
            <w:noWrap w:val="0"/>
            <w:vAlign w:val="center"/>
          </w:tcPr>
          <w:p>
            <w:pPr>
              <w:pStyle w:val="15"/>
            </w:pPr>
            <w:r>
              <w:t>30202</w:t>
            </w:r>
          </w:p>
        </w:tc>
        <w:tc>
          <w:tcPr>
            <w:tcW w:w="1643" w:type="dxa"/>
            <w:noWrap w:val="0"/>
            <w:vAlign w:val="center"/>
          </w:tcPr>
          <w:p>
            <w:pPr>
              <w:pStyle w:val="15"/>
            </w:pPr>
            <w:r>
              <w:t>印刷费</w:t>
            </w:r>
          </w:p>
        </w:tc>
        <w:tc>
          <w:tcPr>
            <w:tcW w:w="1643" w:type="dxa"/>
            <w:noWrap w:val="0"/>
            <w:vAlign w:val="center"/>
          </w:tcPr>
          <w:p>
            <w:pPr>
              <w:pStyle w:val="14"/>
              <w:rPr>
                <w:rFonts w:hint="default"/>
                <w:lang w:val="en-US"/>
              </w:rPr>
            </w:pPr>
            <w:r>
              <w:rPr>
                <w:rFonts w:hint="eastAsia"/>
                <w:lang w:val="en-US" w:eastAsia="zh-CN"/>
              </w:rPr>
              <w:t>1.00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17</w:t>
            </w:r>
          </w:p>
        </w:tc>
        <w:tc>
          <w:tcPr>
            <w:tcW w:w="1643" w:type="dxa"/>
            <w:noWrap w:val="0"/>
            <w:vAlign w:val="center"/>
          </w:tcPr>
          <w:p>
            <w:pPr>
              <w:pStyle w:val="15"/>
            </w:pPr>
            <w:r>
              <w:t>30207</w:t>
            </w:r>
          </w:p>
        </w:tc>
        <w:tc>
          <w:tcPr>
            <w:tcW w:w="1643" w:type="dxa"/>
            <w:noWrap w:val="0"/>
            <w:vAlign w:val="center"/>
          </w:tcPr>
          <w:p>
            <w:pPr>
              <w:pStyle w:val="15"/>
            </w:pPr>
            <w:r>
              <w:t>邮电费</w:t>
            </w:r>
          </w:p>
        </w:tc>
        <w:tc>
          <w:tcPr>
            <w:tcW w:w="1643" w:type="dxa"/>
            <w:noWrap w:val="0"/>
            <w:vAlign w:val="center"/>
          </w:tcPr>
          <w:p>
            <w:pPr>
              <w:pStyle w:val="14"/>
            </w:pPr>
            <w:r>
              <w:rPr>
                <w:rFonts w:ascii="方正书宋_GBK" w:eastAsia="方正书宋_GBK"/>
              </w:rPr>
              <w:t>9.60</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18</w:t>
            </w:r>
          </w:p>
        </w:tc>
        <w:tc>
          <w:tcPr>
            <w:tcW w:w="1643" w:type="dxa"/>
            <w:noWrap w:val="0"/>
            <w:vAlign w:val="center"/>
          </w:tcPr>
          <w:p>
            <w:pPr>
              <w:pStyle w:val="15"/>
            </w:pPr>
            <w:r>
              <w:t>30211</w:t>
            </w:r>
          </w:p>
        </w:tc>
        <w:tc>
          <w:tcPr>
            <w:tcW w:w="1643" w:type="dxa"/>
            <w:noWrap w:val="0"/>
            <w:vAlign w:val="center"/>
          </w:tcPr>
          <w:p>
            <w:pPr>
              <w:pStyle w:val="15"/>
            </w:pPr>
            <w:r>
              <w:t>差旅费</w:t>
            </w:r>
          </w:p>
        </w:tc>
        <w:tc>
          <w:tcPr>
            <w:tcW w:w="1643" w:type="dxa"/>
            <w:noWrap w:val="0"/>
            <w:vAlign w:val="center"/>
          </w:tcPr>
          <w:p>
            <w:pPr>
              <w:spacing w:line="300" w:lineRule="exact"/>
              <w:jc w:val="right"/>
            </w:pPr>
            <w:r>
              <w:rPr>
                <w:rFonts w:ascii="方正书宋_GBK" w:eastAsia="方正书宋_GBK"/>
              </w:rPr>
              <w:t>1.50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19</w:t>
            </w:r>
          </w:p>
        </w:tc>
        <w:tc>
          <w:tcPr>
            <w:tcW w:w="1643" w:type="dxa"/>
            <w:noWrap w:val="0"/>
            <w:vAlign w:val="center"/>
          </w:tcPr>
          <w:p>
            <w:pPr>
              <w:pStyle w:val="15"/>
            </w:pPr>
            <w:r>
              <w:t>30213</w:t>
            </w:r>
          </w:p>
        </w:tc>
        <w:tc>
          <w:tcPr>
            <w:tcW w:w="1643" w:type="dxa"/>
            <w:noWrap w:val="0"/>
            <w:vAlign w:val="center"/>
          </w:tcPr>
          <w:p>
            <w:pPr>
              <w:pStyle w:val="15"/>
            </w:pPr>
            <w:r>
              <w:t>维修(护)费</w:t>
            </w:r>
          </w:p>
        </w:tc>
        <w:tc>
          <w:tcPr>
            <w:tcW w:w="1643" w:type="dxa"/>
            <w:noWrap w:val="0"/>
            <w:vAlign w:val="center"/>
          </w:tcPr>
          <w:p>
            <w:pPr>
              <w:spacing w:line="300" w:lineRule="exact"/>
              <w:jc w:val="right"/>
            </w:pPr>
            <w:r>
              <w:rPr>
                <w:rFonts w:ascii="方正书宋_GBK" w:eastAsia="方正书宋_GBK"/>
              </w:rPr>
              <w:t>0.30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20</w:t>
            </w:r>
          </w:p>
        </w:tc>
        <w:tc>
          <w:tcPr>
            <w:tcW w:w="1643" w:type="dxa"/>
            <w:noWrap w:val="0"/>
            <w:vAlign w:val="center"/>
          </w:tcPr>
          <w:p>
            <w:pPr>
              <w:pStyle w:val="15"/>
            </w:pPr>
            <w:r>
              <w:t>30215</w:t>
            </w:r>
          </w:p>
        </w:tc>
        <w:tc>
          <w:tcPr>
            <w:tcW w:w="1643" w:type="dxa"/>
            <w:noWrap w:val="0"/>
            <w:vAlign w:val="center"/>
          </w:tcPr>
          <w:p>
            <w:pPr>
              <w:pStyle w:val="15"/>
            </w:pPr>
            <w:r>
              <w:t>会议费</w:t>
            </w:r>
          </w:p>
        </w:tc>
        <w:tc>
          <w:tcPr>
            <w:tcW w:w="1643" w:type="dxa"/>
            <w:noWrap w:val="0"/>
            <w:vAlign w:val="center"/>
          </w:tcPr>
          <w:p>
            <w:pPr>
              <w:spacing w:line="300" w:lineRule="exact"/>
              <w:jc w:val="right"/>
            </w:pPr>
            <w:r>
              <w:rPr>
                <w:rFonts w:ascii="方正书宋_GBK" w:eastAsia="方正书宋_GBK"/>
              </w:rPr>
              <w:t>0.40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21</w:t>
            </w:r>
          </w:p>
        </w:tc>
        <w:tc>
          <w:tcPr>
            <w:tcW w:w="1643" w:type="dxa"/>
            <w:noWrap w:val="0"/>
            <w:vAlign w:val="center"/>
          </w:tcPr>
          <w:p>
            <w:pPr>
              <w:pStyle w:val="15"/>
            </w:pPr>
            <w:r>
              <w:t>30217</w:t>
            </w:r>
          </w:p>
        </w:tc>
        <w:tc>
          <w:tcPr>
            <w:tcW w:w="1643" w:type="dxa"/>
            <w:noWrap w:val="0"/>
            <w:vAlign w:val="center"/>
          </w:tcPr>
          <w:p>
            <w:pPr>
              <w:pStyle w:val="15"/>
            </w:pPr>
            <w:r>
              <w:t>公务接待费</w:t>
            </w:r>
          </w:p>
        </w:tc>
        <w:tc>
          <w:tcPr>
            <w:tcW w:w="1643" w:type="dxa"/>
            <w:noWrap w:val="0"/>
            <w:vAlign w:val="center"/>
          </w:tcPr>
          <w:p>
            <w:pPr>
              <w:pStyle w:val="14"/>
            </w:pPr>
            <w:r>
              <w:rPr>
                <w:rFonts w:ascii="方正书宋_GBK" w:eastAsia="方正书宋_GBK"/>
              </w:rPr>
              <w:t>0.40</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22</w:t>
            </w:r>
          </w:p>
        </w:tc>
        <w:tc>
          <w:tcPr>
            <w:tcW w:w="1643" w:type="dxa"/>
            <w:noWrap w:val="0"/>
            <w:vAlign w:val="center"/>
          </w:tcPr>
          <w:p>
            <w:pPr>
              <w:pStyle w:val="15"/>
            </w:pPr>
            <w:r>
              <w:t>30226</w:t>
            </w:r>
          </w:p>
        </w:tc>
        <w:tc>
          <w:tcPr>
            <w:tcW w:w="1643" w:type="dxa"/>
            <w:noWrap w:val="0"/>
            <w:vAlign w:val="center"/>
          </w:tcPr>
          <w:p>
            <w:pPr>
              <w:pStyle w:val="15"/>
            </w:pPr>
            <w:r>
              <w:t>劳务费</w:t>
            </w:r>
          </w:p>
        </w:tc>
        <w:tc>
          <w:tcPr>
            <w:tcW w:w="1643" w:type="dxa"/>
            <w:noWrap w:val="0"/>
            <w:vAlign w:val="center"/>
          </w:tcPr>
          <w:p>
            <w:pPr>
              <w:pStyle w:val="14"/>
              <w:rPr>
                <w:rFonts w:hint="default" w:eastAsia="方正书宋_GBK"/>
                <w:lang w:val="en-US" w:eastAsia="zh-CN"/>
              </w:rPr>
            </w:pPr>
            <w:r>
              <w:rPr>
                <w:rFonts w:hint="eastAsia"/>
                <w:lang w:val="en-US" w:eastAsia="zh-CN"/>
              </w:rPr>
              <w:t>1.00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23</w:t>
            </w:r>
          </w:p>
        </w:tc>
        <w:tc>
          <w:tcPr>
            <w:tcW w:w="1643" w:type="dxa"/>
            <w:noWrap w:val="0"/>
            <w:vAlign w:val="center"/>
          </w:tcPr>
          <w:p>
            <w:pPr>
              <w:pStyle w:val="15"/>
            </w:pPr>
            <w:r>
              <w:t>30228</w:t>
            </w:r>
          </w:p>
        </w:tc>
        <w:tc>
          <w:tcPr>
            <w:tcW w:w="1643" w:type="dxa"/>
            <w:noWrap w:val="0"/>
            <w:vAlign w:val="center"/>
          </w:tcPr>
          <w:p>
            <w:pPr>
              <w:pStyle w:val="15"/>
            </w:pPr>
            <w:r>
              <w:t>工会经费</w:t>
            </w:r>
          </w:p>
        </w:tc>
        <w:tc>
          <w:tcPr>
            <w:tcW w:w="1643" w:type="dxa"/>
            <w:noWrap w:val="0"/>
            <w:vAlign w:val="center"/>
          </w:tcPr>
          <w:p>
            <w:pPr>
              <w:pStyle w:val="14"/>
              <w:rPr>
                <w:rFonts w:hint="default" w:eastAsia="方正书宋_GBK"/>
                <w:lang w:val="en-US" w:eastAsia="zh-CN"/>
              </w:rPr>
            </w:pPr>
            <w:r>
              <w:rPr>
                <w:rFonts w:hint="eastAsia"/>
                <w:lang w:val="en-US" w:eastAsia="zh-CN"/>
              </w:rPr>
              <w:t>2.73</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24</w:t>
            </w:r>
          </w:p>
        </w:tc>
        <w:tc>
          <w:tcPr>
            <w:tcW w:w="1643" w:type="dxa"/>
            <w:noWrap w:val="0"/>
            <w:vAlign w:val="center"/>
          </w:tcPr>
          <w:p>
            <w:pPr>
              <w:pStyle w:val="15"/>
            </w:pPr>
            <w:r>
              <w:t>30229</w:t>
            </w:r>
          </w:p>
        </w:tc>
        <w:tc>
          <w:tcPr>
            <w:tcW w:w="1643" w:type="dxa"/>
            <w:noWrap w:val="0"/>
            <w:vAlign w:val="center"/>
          </w:tcPr>
          <w:p>
            <w:pPr>
              <w:pStyle w:val="15"/>
            </w:pPr>
            <w:r>
              <w:t>福利费</w:t>
            </w:r>
          </w:p>
        </w:tc>
        <w:tc>
          <w:tcPr>
            <w:tcW w:w="1643" w:type="dxa"/>
            <w:noWrap w:val="0"/>
            <w:vAlign w:val="center"/>
          </w:tcPr>
          <w:p>
            <w:pPr>
              <w:pStyle w:val="14"/>
              <w:rPr>
                <w:rFonts w:hint="default" w:eastAsia="方正书宋_GBK"/>
                <w:lang w:val="en-US" w:eastAsia="zh-CN"/>
              </w:rPr>
            </w:pPr>
            <w:r>
              <w:rPr>
                <w:rFonts w:hint="eastAsia"/>
                <w:lang w:val="en-US" w:eastAsia="zh-CN"/>
              </w:rPr>
              <w:t>2.85</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25</w:t>
            </w:r>
          </w:p>
        </w:tc>
        <w:tc>
          <w:tcPr>
            <w:tcW w:w="1643" w:type="dxa"/>
            <w:noWrap w:val="0"/>
            <w:vAlign w:val="center"/>
          </w:tcPr>
          <w:p>
            <w:pPr>
              <w:pStyle w:val="15"/>
            </w:pPr>
            <w:r>
              <w:t>30231</w:t>
            </w:r>
          </w:p>
        </w:tc>
        <w:tc>
          <w:tcPr>
            <w:tcW w:w="1643" w:type="dxa"/>
            <w:noWrap w:val="0"/>
            <w:vAlign w:val="center"/>
          </w:tcPr>
          <w:p>
            <w:pPr>
              <w:pStyle w:val="15"/>
            </w:pPr>
            <w:r>
              <w:t>公务用车运行维护费</w:t>
            </w:r>
          </w:p>
        </w:tc>
        <w:tc>
          <w:tcPr>
            <w:tcW w:w="1643" w:type="dxa"/>
            <w:noWrap w:val="0"/>
            <w:vAlign w:val="center"/>
          </w:tcPr>
          <w:p>
            <w:pPr>
              <w:pStyle w:val="14"/>
              <w:rPr>
                <w:rFonts w:hint="default" w:eastAsia="方正书宋_GBK"/>
                <w:lang w:val="en-US" w:eastAsia="zh-CN"/>
              </w:rPr>
            </w:pPr>
            <w:r>
              <w:rPr>
                <w:rFonts w:hint="eastAsia"/>
                <w:lang w:val="en-US" w:eastAsia="zh-CN"/>
              </w:rPr>
              <w:t>4.00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26</w:t>
            </w:r>
          </w:p>
        </w:tc>
        <w:tc>
          <w:tcPr>
            <w:tcW w:w="1643" w:type="dxa"/>
            <w:noWrap w:val="0"/>
            <w:vAlign w:val="center"/>
          </w:tcPr>
          <w:p>
            <w:pPr>
              <w:pStyle w:val="15"/>
            </w:pPr>
            <w:r>
              <w:t>30239</w:t>
            </w:r>
          </w:p>
        </w:tc>
        <w:tc>
          <w:tcPr>
            <w:tcW w:w="1643" w:type="dxa"/>
            <w:noWrap w:val="0"/>
            <w:vAlign w:val="center"/>
          </w:tcPr>
          <w:p>
            <w:pPr>
              <w:pStyle w:val="15"/>
            </w:pPr>
            <w:r>
              <w:t>其他交通费用</w:t>
            </w:r>
          </w:p>
        </w:tc>
        <w:tc>
          <w:tcPr>
            <w:tcW w:w="1643" w:type="dxa"/>
            <w:noWrap w:val="0"/>
            <w:vAlign w:val="center"/>
          </w:tcPr>
          <w:p>
            <w:pPr>
              <w:pStyle w:val="14"/>
            </w:pPr>
            <w:r>
              <w:rPr>
                <w:rFonts w:ascii="方正书宋_GBK" w:eastAsia="方正书宋_GBK"/>
              </w:rPr>
              <w:t>7.62</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27</w:t>
            </w:r>
          </w:p>
        </w:tc>
        <w:tc>
          <w:tcPr>
            <w:tcW w:w="1643" w:type="dxa"/>
            <w:noWrap w:val="0"/>
            <w:vAlign w:val="center"/>
          </w:tcPr>
          <w:p>
            <w:pPr>
              <w:pStyle w:val="15"/>
            </w:pPr>
            <w:r>
              <w:t>30299</w:t>
            </w:r>
          </w:p>
        </w:tc>
        <w:tc>
          <w:tcPr>
            <w:tcW w:w="1643" w:type="dxa"/>
            <w:noWrap w:val="0"/>
            <w:vAlign w:val="center"/>
          </w:tcPr>
          <w:p>
            <w:pPr>
              <w:pStyle w:val="15"/>
            </w:pPr>
            <w:r>
              <w:t>其他商品和服务支出</w:t>
            </w:r>
          </w:p>
        </w:tc>
        <w:tc>
          <w:tcPr>
            <w:tcW w:w="1643" w:type="dxa"/>
            <w:noWrap w:val="0"/>
            <w:vAlign w:val="center"/>
          </w:tcPr>
          <w:p>
            <w:pPr>
              <w:pStyle w:val="14"/>
              <w:rPr>
                <w:rFonts w:hint="default" w:eastAsia="方正书宋_GBK"/>
                <w:lang w:val="en-US" w:eastAsia="zh-CN"/>
              </w:rPr>
            </w:pPr>
            <w:r>
              <w:rPr>
                <w:rFonts w:hint="eastAsia"/>
                <w:lang w:val="en-US" w:eastAsia="zh-CN"/>
              </w:rPr>
              <w:t>0.9</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28</w:t>
            </w:r>
          </w:p>
        </w:tc>
        <w:tc>
          <w:tcPr>
            <w:tcW w:w="1643" w:type="dxa"/>
            <w:noWrap w:val="0"/>
            <w:vAlign w:val="center"/>
          </w:tcPr>
          <w:p>
            <w:pPr>
              <w:pStyle w:val="15"/>
            </w:pPr>
            <w:r>
              <w:t>303</w:t>
            </w:r>
          </w:p>
        </w:tc>
        <w:tc>
          <w:tcPr>
            <w:tcW w:w="1643" w:type="dxa"/>
            <w:noWrap w:val="0"/>
            <w:vAlign w:val="center"/>
          </w:tcPr>
          <w:p>
            <w:pPr>
              <w:pStyle w:val="15"/>
            </w:pPr>
            <w:r>
              <w:t>对个人和家庭的补助</w:t>
            </w:r>
          </w:p>
        </w:tc>
        <w:tc>
          <w:tcPr>
            <w:tcW w:w="1643" w:type="dxa"/>
            <w:noWrap w:val="0"/>
            <w:vAlign w:val="center"/>
          </w:tcPr>
          <w:p>
            <w:pPr>
              <w:pStyle w:val="14"/>
            </w:pPr>
            <w:r>
              <w:rPr>
                <w:rFonts w:ascii="方正书宋_GBK" w:eastAsia="方正书宋_GBK"/>
              </w:rPr>
              <w:t>4.05</w:t>
            </w:r>
          </w:p>
        </w:tc>
        <w:tc>
          <w:tcPr>
            <w:tcW w:w="1643" w:type="dxa"/>
            <w:noWrap w:val="0"/>
            <w:vAlign w:val="center"/>
          </w:tcPr>
          <w:p>
            <w:pPr>
              <w:pStyle w:val="14"/>
              <w:rPr>
                <w:rFonts w:hint="default" w:eastAsia="方正书宋_GBK"/>
                <w:lang w:val="en-US" w:eastAsia="zh-CN"/>
              </w:rPr>
            </w:pPr>
            <w:r>
              <w:rPr>
                <w:rFonts w:hint="eastAsia"/>
                <w:lang w:val="en-US" w:eastAsia="zh-CN"/>
              </w:rPr>
              <w:t>4.05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29</w:t>
            </w:r>
          </w:p>
        </w:tc>
        <w:tc>
          <w:tcPr>
            <w:tcW w:w="1643" w:type="dxa"/>
            <w:noWrap w:val="0"/>
            <w:vAlign w:val="center"/>
          </w:tcPr>
          <w:p>
            <w:pPr>
              <w:pStyle w:val="15"/>
            </w:pPr>
            <w:r>
              <w:t>30302</w:t>
            </w:r>
          </w:p>
        </w:tc>
        <w:tc>
          <w:tcPr>
            <w:tcW w:w="1643" w:type="dxa"/>
            <w:noWrap w:val="0"/>
            <w:vAlign w:val="center"/>
          </w:tcPr>
          <w:p>
            <w:pPr>
              <w:pStyle w:val="15"/>
            </w:pPr>
            <w:r>
              <w:t>退休费</w:t>
            </w:r>
          </w:p>
        </w:tc>
        <w:tc>
          <w:tcPr>
            <w:tcW w:w="1643" w:type="dxa"/>
            <w:noWrap w:val="0"/>
            <w:vAlign w:val="center"/>
          </w:tcPr>
          <w:p>
            <w:pPr>
              <w:pStyle w:val="14"/>
            </w:pPr>
            <w:r>
              <w:rPr>
                <w:rFonts w:ascii="方正书宋_GBK" w:eastAsia="方正书宋_GBK"/>
              </w:rPr>
              <w:t>3.96</w:t>
            </w:r>
          </w:p>
        </w:tc>
        <w:tc>
          <w:tcPr>
            <w:tcW w:w="1643" w:type="dxa"/>
            <w:noWrap w:val="0"/>
            <w:vAlign w:val="center"/>
          </w:tcPr>
          <w:p>
            <w:pPr>
              <w:pStyle w:val="14"/>
            </w:pPr>
            <w:r>
              <w:t>3.80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30</w:t>
            </w:r>
          </w:p>
        </w:tc>
        <w:tc>
          <w:tcPr>
            <w:tcW w:w="1643" w:type="dxa"/>
            <w:noWrap w:val="0"/>
            <w:vAlign w:val="center"/>
          </w:tcPr>
          <w:p>
            <w:pPr>
              <w:pStyle w:val="15"/>
            </w:pPr>
            <w:r>
              <w:t>30309</w:t>
            </w:r>
          </w:p>
        </w:tc>
        <w:tc>
          <w:tcPr>
            <w:tcW w:w="1643" w:type="dxa"/>
            <w:noWrap w:val="0"/>
            <w:vAlign w:val="center"/>
          </w:tcPr>
          <w:p>
            <w:pPr>
              <w:pStyle w:val="15"/>
            </w:pPr>
            <w:r>
              <w:t>奖励金</w:t>
            </w:r>
          </w:p>
        </w:tc>
        <w:tc>
          <w:tcPr>
            <w:tcW w:w="1643" w:type="dxa"/>
            <w:noWrap w:val="0"/>
            <w:vAlign w:val="center"/>
          </w:tcPr>
          <w:p>
            <w:pPr>
              <w:pStyle w:val="14"/>
            </w:pPr>
            <w:r>
              <w:rPr>
                <w:rFonts w:ascii="方正书宋_GBK" w:eastAsia="方正书宋_GBK"/>
              </w:rPr>
              <w:t>0.09</w:t>
            </w:r>
          </w:p>
        </w:tc>
        <w:tc>
          <w:tcPr>
            <w:tcW w:w="1643" w:type="dxa"/>
            <w:noWrap w:val="0"/>
            <w:vAlign w:val="center"/>
          </w:tcPr>
          <w:p>
            <w:pPr>
              <w:pStyle w:val="14"/>
            </w:pPr>
            <w:r>
              <w:t>0.08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31</w:t>
            </w:r>
          </w:p>
        </w:tc>
        <w:tc>
          <w:tcPr>
            <w:tcW w:w="1643" w:type="dxa"/>
            <w:noWrap w:val="0"/>
            <w:vAlign w:val="center"/>
          </w:tcPr>
          <w:p>
            <w:pPr>
              <w:pStyle w:val="15"/>
            </w:pPr>
            <w:r>
              <w:t>310</w:t>
            </w:r>
          </w:p>
        </w:tc>
        <w:tc>
          <w:tcPr>
            <w:tcW w:w="1643" w:type="dxa"/>
            <w:noWrap w:val="0"/>
            <w:vAlign w:val="center"/>
          </w:tcPr>
          <w:p>
            <w:pPr>
              <w:pStyle w:val="15"/>
            </w:pPr>
            <w:r>
              <w:t>资本性支出</w:t>
            </w:r>
          </w:p>
        </w:tc>
        <w:tc>
          <w:tcPr>
            <w:tcW w:w="1643"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32</w:t>
            </w:r>
          </w:p>
        </w:tc>
        <w:tc>
          <w:tcPr>
            <w:tcW w:w="1643" w:type="dxa"/>
            <w:noWrap w:val="0"/>
            <w:vAlign w:val="center"/>
          </w:tcPr>
          <w:p>
            <w:pPr>
              <w:pStyle w:val="15"/>
            </w:pPr>
            <w:r>
              <w:t>31002</w:t>
            </w:r>
          </w:p>
        </w:tc>
        <w:tc>
          <w:tcPr>
            <w:tcW w:w="1643" w:type="dxa"/>
            <w:noWrap w:val="0"/>
            <w:vAlign w:val="center"/>
          </w:tcPr>
          <w:p>
            <w:pPr>
              <w:pStyle w:val="15"/>
            </w:pPr>
            <w:r>
              <w:t>办公设备购置</w:t>
            </w:r>
          </w:p>
        </w:tc>
        <w:tc>
          <w:tcPr>
            <w:tcW w:w="1643"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38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3798" w:type="dxa"/>
            <w:vMerge w:val="restart"/>
            <w:noWrap w:val="0"/>
            <w:vAlign w:val="center"/>
          </w:tcPr>
          <w:p>
            <w:pPr>
              <w:pStyle w:val="13"/>
            </w:pPr>
            <w:r>
              <w:t>项  目</w:t>
            </w:r>
          </w:p>
        </w:tc>
        <w:tc>
          <w:tcPr>
            <w:tcW w:w="9524"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3"/>
            </w:pPr>
            <w:r>
              <w:t>合计</w:t>
            </w:r>
          </w:p>
        </w:tc>
        <w:tc>
          <w:tcPr>
            <w:tcW w:w="2381" w:type="dxa"/>
            <w:noWrap w:val="0"/>
            <w:vAlign w:val="center"/>
          </w:tcPr>
          <w:p>
            <w:pPr>
              <w:pStyle w:val="13"/>
            </w:pPr>
            <w:r>
              <w:t>一般公共预算              财政拨款</w:t>
            </w:r>
          </w:p>
        </w:tc>
        <w:tc>
          <w:tcPr>
            <w:tcW w:w="2381" w:type="dxa"/>
            <w:noWrap w:val="0"/>
            <w:vAlign w:val="center"/>
          </w:tcPr>
          <w:p>
            <w:pPr>
              <w:pStyle w:val="13"/>
            </w:pPr>
            <w:r>
              <w:t>政府性基金                  预算拨款</w:t>
            </w:r>
          </w:p>
        </w:tc>
        <w:tc>
          <w:tcPr>
            <w:tcW w:w="2381"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pPr>
            <w:r>
              <w:t>栏次</w:t>
            </w:r>
          </w:p>
        </w:tc>
        <w:tc>
          <w:tcPr>
            <w:tcW w:w="3798" w:type="dxa"/>
            <w:noWrap w:val="0"/>
            <w:vAlign w:val="center"/>
          </w:tcPr>
          <w:p>
            <w:pPr>
              <w:pStyle w:val="13"/>
            </w:pPr>
            <w:r>
              <w:t>1</w:t>
            </w:r>
          </w:p>
        </w:tc>
        <w:tc>
          <w:tcPr>
            <w:tcW w:w="2381" w:type="dxa"/>
            <w:noWrap w:val="0"/>
            <w:vAlign w:val="center"/>
          </w:tcPr>
          <w:p>
            <w:pPr>
              <w:pStyle w:val="13"/>
            </w:pPr>
            <w:r>
              <w:t>2</w:t>
            </w:r>
          </w:p>
        </w:tc>
        <w:tc>
          <w:tcPr>
            <w:tcW w:w="2381" w:type="dxa"/>
            <w:noWrap w:val="0"/>
            <w:vAlign w:val="center"/>
          </w:tcPr>
          <w:p>
            <w:pPr>
              <w:pStyle w:val="13"/>
            </w:pPr>
            <w:r>
              <w:t>3</w:t>
            </w:r>
          </w:p>
        </w:tc>
        <w:tc>
          <w:tcPr>
            <w:tcW w:w="2381" w:type="dxa"/>
            <w:noWrap w:val="0"/>
            <w:vAlign w:val="center"/>
          </w:tcPr>
          <w:p>
            <w:pPr>
              <w:pStyle w:val="13"/>
            </w:pPr>
            <w:r>
              <w:t>4</w:t>
            </w:r>
          </w:p>
        </w:tc>
        <w:tc>
          <w:tcPr>
            <w:tcW w:w="238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7"/>
            </w:pPr>
            <w:r>
              <w:t>合计</w:t>
            </w:r>
          </w:p>
        </w:tc>
        <w:tc>
          <w:tcPr>
            <w:tcW w:w="2381" w:type="dxa"/>
            <w:noWrap w:val="0"/>
            <w:vAlign w:val="center"/>
          </w:tcPr>
          <w:p>
            <w:pPr>
              <w:pStyle w:val="18"/>
            </w:pPr>
            <w:r>
              <w:rPr>
                <w:rFonts w:ascii="方正书宋_GBK" w:eastAsia="方正书宋_GBK"/>
                <w:b/>
              </w:rPr>
              <w:t>11.</w:t>
            </w:r>
            <w:r>
              <w:rPr>
                <w:rFonts w:hint="eastAsia" w:ascii="方正书宋_GBK" w:eastAsia="方正书宋_GBK"/>
                <w:b/>
                <w:lang w:val="en-US" w:eastAsia="zh-CN"/>
              </w:rPr>
              <w:t>8</w:t>
            </w:r>
            <w:r>
              <w:rPr>
                <w:rFonts w:ascii="方正书宋_GBK" w:eastAsia="方正书宋_GBK"/>
                <w:b/>
              </w:rPr>
              <w:t>0</w:t>
            </w:r>
          </w:p>
        </w:tc>
        <w:tc>
          <w:tcPr>
            <w:tcW w:w="2381" w:type="dxa"/>
            <w:noWrap w:val="0"/>
            <w:vAlign w:val="center"/>
          </w:tcPr>
          <w:p>
            <w:pPr>
              <w:pStyle w:val="18"/>
              <w:ind w:firstLine="0" w:firstLineChars="0"/>
            </w:pPr>
            <w:r>
              <w:rPr>
                <w:rFonts w:ascii="方正书宋_GBK" w:eastAsia="方正书宋_GBK"/>
                <w:b/>
              </w:rPr>
              <w:t>11.</w:t>
            </w:r>
            <w:r>
              <w:rPr>
                <w:rFonts w:hint="eastAsia" w:ascii="方正书宋_GBK" w:eastAsia="方正书宋_GBK"/>
                <w:b/>
                <w:lang w:val="en-US" w:eastAsia="zh-CN"/>
              </w:rPr>
              <w:t>8</w:t>
            </w:r>
            <w:r>
              <w:rPr>
                <w:rFonts w:ascii="方正书宋_GBK" w:eastAsia="方正书宋_GBK"/>
                <w:b/>
              </w:rPr>
              <w:t>0</w:t>
            </w:r>
          </w:p>
        </w:tc>
        <w:tc>
          <w:tcPr>
            <w:tcW w:w="2381" w:type="dxa"/>
            <w:noWrap w:val="0"/>
            <w:vAlign w:val="center"/>
          </w:tcPr>
          <w:p>
            <w:pPr>
              <w:pStyle w:val="18"/>
            </w:pPr>
          </w:p>
        </w:tc>
        <w:tc>
          <w:tcPr>
            <w:tcW w:w="238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15"/>
            </w:pPr>
            <w:r>
              <w:t>“三公”经费小计</w:t>
            </w:r>
          </w:p>
        </w:tc>
        <w:tc>
          <w:tcPr>
            <w:tcW w:w="2381" w:type="dxa"/>
            <w:noWrap w:val="0"/>
            <w:vAlign w:val="center"/>
          </w:tcPr>
          <w:p>
            <w:pPr>
              <w:pStyle w:val="14"/>
            </w:pPr>
            <w:r>
              <w:rPr>
                <w:rFonts w:ascii="方正书宋_GBK" w:eastAsia="方正书宋_GBK"/>
                <w:b/>
              </w:rPr>
              <w:t>11.40</w:t>
            </w:r>
          </w:p>
        </w:tc>
        <w:tc>
          <w:tcPr>
            <w:tcW w:w="2381" w:type="dxa"/>
            <w:noWrap w:val="0"/>
            <w:vAlign w:val="center"/>
          </w:tcPr>
          <w:p>
            <w:pPr>
              <w:pStyle w:val="14"/>
              <w:ind w:firstLine="0" w:firstLineChars="0"/>
            </w:pPr>
            <w:r>
              <w:rPr>
                <w:rFonts w:ascii="方正书宋_GBK" w:eastAsia="方正书宋_GBK"/>
                <w:b/>
              </w:rPr>
              <w:t>11.40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15"/>
            </w:pPr>
            <w:r>
              <w:t>一、因公出国（境）费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15"/>
            </w:pPr>
            <w:r>
              <w:t xml:space="preserve">          其他因公出国（境）费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15"/>
            </w:pPr>
            <w:r>
              <w:t>二、公务用车购置及运维费</w:t>
            </w:r>
          </w:p>
        </w:tc>
        <w:tc>
          <w:tcPr>
            <w:tcW w:w="2381" w:type="dxa"/>
            <w:noWrap w:val="0"/>
            <w:vAlign w:val="center"/>
          </w:tcPr>
          <w:p>
            <w:pPr>
              <w:spacing w:line="300" w:lineRule="exact"/>
              <w:jc w:val="right"/>
            </w:pPr>
            <w:r>
              <w:rPr>
                <w:rFonts w:ascii="方正书宋_GBK" w:eastAsia="方正书宋_GBK"/>
              </w:rPr>
              <w:t>9.00</w:t>
            </w:r>
          </w:p>
        </w:tc>
        <w:tc>
          <w:tcPr>
            <w:tcW w:w="2381" w:type="dxa"/>
            <w:noWrap w:val="0"/>
            <w:vAlign w:val="center"/>
          </w:tcPr>
          <w:p>
            <w:pPr>
              <w:spacing w:line="300" w:lineRule="exact"/>
              <w:jc w:val="right"/>
            </w:pPr>
            <w:r>
              <w:rPr>
                <w:rFonts w:ascii="方正书宋_GBK" w:eastAsia="方正书宋_GBK"/>
              </w:rPr>
              <w:t>9.00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15"/>
            </w:pPr>
            <w:r>
              <w:t xml:space="preserve">    其中：公务用车购置费</w:t>
            </w:r>
          </w:p>
        </w:tc>
        <w:tc>
          <w:tcPr>
            <w:tcW w:w="2381" w:type="dxa"/>
            <w:noWrap w:val="0"/>
            <w:vAlign w:val="center"/>
          </w:tcPr>
          <w:p>
            <w:pPr>
              <w:spacing w:line="300" w:lineRule="exact"/>
              <w:jc w:val="right"/>
            </w:pPr>
            <w:r>
              <w:rPr>
                <w:rFonts w:ascii="方正书宋_GBK" w:eastAsia="方正书宋_GBK"/>
              </w:rPr>
              <w:t>5.00</w:t>
            </w:r>
          </w:p>
        </w:tc>
        <w:tc>
          <w:tcPr>
            <w:tcW w:w="2381" w:type="dxa"/>
            <w:noWrap w:val="0"/>
            <w:vAlign w:val="center"/>
          </w:tcPr>
          <w:p>
            <w:pPr>
              <w:spacing w:line="300" w:lineRule="exact"/>
              <w:jc w:val="right"/>
            </w:pPr>
            <w:r>
              <w:rPr>
                <w:rFonts w:ascii="方正书宋_GBK" w:eastAsia="方正书宋_GBK"/>
              </w:rPr>
              <w:t>5.00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15"/>
            </w:pPr>
            <w:r>
              <w:t xml:space="preserve">          公务用车运行维护费</w:t>
            </w:r>
          </w:p>
        </w:tc>
        <w:tc>
          <w:tcPr>
            <w:tcW w:w="2381" w:type="dxa"/>
            <w:noWrap w:val="0"/>
            <w:vAlign w:val="center"/>
          </w:tcPr>
          <w:p>
            <w:pPr>
              <w:spacing w:line="300" w:lineRule="exact"/>
              <w:jc w:val="right"/>
            </w:pPr>
            <w:r>
              <w:rPr>
                <w:rFonts w:ascii="方正书宋_GBK" w:eastAsia="方正书宋_GBK"/>
              </w:rPr>
              <w:t>4.00</w:t>
            </w:r>
          </w:p>
        </w:tc>
        <w:tc>
          <w:tcPr>
            <w:tcW w:w="2381" w:type="dxa"/>
            <w:noWrap w:val="0"/>
            <w:vAlign w:val="center"/>
          </w:tcPr>
          <w:p>
            <w:pPr>
              <w:spacing w:line="300" w:lineRule="exact"/>
              <w:jc w:val="right"/>
            </w:pPr>
            <w:r>
              <w:rPr>
                <w:rFonts w:ascii="方正书宋_GBK" w:eastAsia="方正书宋_GBK"/>
              </w:rPr>
              <w:t>4.00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15"/>
            </w:pPr>
            <w:r>
              <w:t>三、公务接待费</w:t>
            </w:r>
          </w:p>
        </w:tc>
        <w:tc>
          <w:tcPr>
            <w:tcW w:w="2381" w:type="dxa"/>
            <w:noWrap w:val="0"/>
            <w:vAlign w:val="center"/>
          </w:tcPr>
          <w:p>
            <w:pPr>
              <w:spacing w:line="300" w:lineRule="exact"/>
              <w:jc w:val="right"/>
            </w:pPr>
            <w:r>
              <w:rPr>
                <w:rFonts w:ascii="方正书宋_GBK" w:eastAsia="方正书宋_GBK"/>
              </w:rPr>
              <w:t>2.40</w:t>
            </w:r>
          </w:p>
        </w:tc>
        <w:tc>
          <w:tcPr>
            <w:tcW w:w="2381" w:type="dxa"/>
            <w:noWrap w:val="0"/>
            <w:vAlign w:val="center"/>
          </w:tcPr>
          <w:p>
            <w:pPr>
              <w:spacing w:line="300" w:lineRule="exact"/>
              <w:jc w:val="right"/>
            </w:pPr>
            <w:r>
              <w:rPr>
                <w:rFonts w:ascii="方正书宋_GBK" w:eastAsia="方正书宋_GBK"/>
              </w:rPr>
              <w:t>2.40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10</w:t>
            </w:r>
          </w:p>
        </w:tc>
        <w:tc>
          <w:tcPr>
            <w:tcW w:w="3798" w:type="dxa"/>
            <w:noWrap w:val="0"/>
            <w:vAlign w:val="center"/>
          </w:tcPr>
          <w:p>
            <w:pPr>
              <w:pStyle w:val="15"/>
            </w:pPr>
            <w:r>
              <w:t>四、会议费</w:t>
            </w:r>
          </w:p>
        </w:tc>
        <w:tc>
          <w:tcPr>
            <w:tcW w:w="2381" w:type="dxa"/>
            <w:noWrap w:val="0"/>
            <w:vAlign w:val="center"/>
          </w:tcPr>
          <w:p>
            <w:pPr>
              <w:spacing w:line="300" w:lineRule="exact"/>
              <w:jc w:val="right"/>
            </w:pPr>
            <w:r>
              <w:rPr>
                <w:rFonts w:ascii="方正书宋_GBK" w:eastAsia="方正书宋_GBK"/>
              </w:rPr>
              <w:t>0.40</w:t>
            </w:r>
          </w:p>
        </w:tc>
        <w:tc>
          <w:tcPr>
            <w:tcW w:w="2381" w:type="dxa"/>
            <w:noWrap w:val="0"/>
            <w:vAlign w:val="center"/>
          </w:tcPr>
          <w:p>
            <w:pPr>
              <w:spacing w:line="300" w:lineRule="exact"/>
              <w:jc w:val="right"/>
            </w:pPr>
            <w:r>
              <w:rPr>
                <w:rFonts w:ascii="方正书宋_GBK" w:eastAsia="方正书宋_GBK"/>
              </w:rPr>
              <w:t>0.40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11</w:t>
            </w:r>
          </w:p>
        </w:tc>
        <w:tc>
          <w:tcPr>
            <w:tcW w:w="3798" w:type="dxa"/>
            <w:noWrap w:val="0"/>
            <w:vAlign w:val="center"/>
          </w:tcPr>
          <w:p>
            <w:pPr>
              <w:pStyle w:val="15"/>
            </w:pPr>
            <w:r>
              <w:t>五、培训费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唐山市曹妃甸区文化广电和旅游局本级202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按照《预算法》、《地方预决算公开操作规程》和《关于进一步推进预算公开工作的实施意见》规定，现将唐山市曹妃甸区文化广电和旅游局本级202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ind w:firstLine="0"/>
        <w:jc w:val="center"/>
        <w:outlineLvl w:val="1"/>
      </w:pPr>
      <w:bookmarkStart w:id="1" w:name="_Toc_2_2_0000000001"/>
      <w:r>
        <w:rPr>
          <w:rFonts w:ascii="方正小标宋_GBK" w:hAnsi="方正小标宋_GBK" w:eastAsia="方正小标宋_GBK" w:cs="方正小标宋_GBK"/>
          <w:color w:val="000000"/>
          <w:sz w:val="36"/>
        </w:rPr>
        <w:t>部 门 职 责</w:t>
      </w:r>
      <w:bookmarkEnd w:id="1"/>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根据《唐山市曹妃甸区文化广电和旅游局职能配置、内设机构和人员编制规定》，唐山市曹妃甸区文化广电和旅游局的主要职责是：</w:t>
      </w:r>
    </w:p>
    <w:p>
      <w:pPr>
        <w:pStyle w:val="20"/>
      </w:pPr>
      <w:r>
        <w:t>一、贯彻执行党和国家文化、文物、广播电视和旅游工作方针政策和法律法规规章。研究起草全区文化、文物、广播电视和旅游政策措施。</w:t>
      </w:r>
    </w:p>
    <w:p>
      <w:pPr>
        <w:pStyle w:val="20"/>
      </w:pPr>
      <w:r>
        <w:t>二、起草全区文化文物广播电视事业、文化产业和旅游业发展规划并组织实施，推进文化和旅游融合发展，推进文化、文物、广播电视和旅游体制机制改革。</w:t>
      </w:r>
    </w:p>
    <w:p>
      <w:pPr>
        <w:pStyle w:val="20"/>
      </w:pPr>
      <w:r>
        <w:t>三、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pPr>
        <w:pStyle w:val="20"/>
      </w:pPr>
      <w:r>
        <w:t>四、指导、管理全区文艺事业。指导艺术创作生产，扶持体现社会主义核心价值观、具有导向性代表性示范性的文艺作品，推动全区各门类艺术、各艺术品种发展。</w:t>
      </w:r>
    </w:p>
    <w:p>
      <w:pPr>
        <w:pStyle w:val="20"/>
      </w:pPr>
      <w:r>
        <w:t>五、负责全区公共文化事业发展。推进全区文化、文物、广播电视和旅游公共服务体系建设，深入实施文化惠民工程，统筹推进全区基本公共文化服务标准化、均等化。</w:t>
      </w:r>
    </w:p>
    <w:p>
      <w:pPr>
        <w:pStyle w:val="20"/>
      </w:pPr>
      <w:r>
        <w:t>六、指导、推进全区文化、文物、广播电视和旅游行业信息化、标准化建设。促进智慧文化、文物、广播电视和旅游发展。</w:t>
      </w:r>
    </w:p>
    <w:p>
      <w:pPr>
        <w:pStyle w:val="20"/>
      </w:pPr>
      <w:r>
        <w:t>七、负责全区非物质文化遗产保护，推动非物质文化遗产的保护传承、普及、弘扬和振兴。</w:t>
      </w:r>
    </w:p>
    <w:p>
      <w:pPr>
        <w:pStyle w:val="20"/>
      </w:pPr>
      <w:r>
        <w:t>八、统筹规划全区文化、广播电视和旅游产业。组织实施文化、文物、广播电视和旅游资源普查、挖掘、保护和利用工作，促进文化产业、广播电视产业和旅游产业发展。</w:t>
      </w:r>
    </w:p>
    <w:p>
      <w:pPr>
        <w:pStyle w:val="20"/>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20"/>
      </w:pPr>
      <w:r>
        <w:t>十、负责组织、指导全区文物保护管理工作；指导全区考古、文物修缮工作；组织、协调重大文物保护和考古项目的实施；指导全区文物和博物馆的业务工作；推进全区文物事业发展。</w:t>
      </w:r>
    </w:p>
    <w:p>
      <w:pPr>
        <w:pStyle w:val="20"/>
      </w:pPr>
      <w:r>
        <w:t>十一、指导全区电视剧行业发展和电视剧创作生产，监管全区广播电视节目、网络视听节目和公共视听载体播放的视听节目，审查其内容和质量，指导、监管全区广播电视广告播放。</w:t>
      </w:r>
    </w:p>
    <w:p>
      <w:pPr>
        <w:pStyle w:val="20"/>
      </w:pPr>
      <w:r>
        <w:t>十二、负责起草全区广播电视科技发展规划、政策并组织实施和监督检查，负责对广播电视节目传输覆盖、监听、监看、监测的监管，推进全区应急广播体系建设，监管协调、调度全区广播电视安全播出。</w:t>
      </w:r>
    </w:p>
    <w:p>
      <w:pPr>
        <w:pStyle w:val="20"/>
      </w:pPr>
      <w:r>
        <w:t>十三、指导全区文化市场综合执法。组织查处全区性、跨区域文化、文物、出版、广播电视、电影、旅游等市场的违法行为，督查督办大案要案，维护市场秩序。</w:t>
      </w:r>
    </w:p>
    <w:p>
      <w:pPr>
        <w:pStyle w:val="20"/>
      </w:pPr>
      <w:r>
        <w:t>十四、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pPr>
        <w:pStyle w:val="20"/>
      </w:pPr>
      <w:r>
        <w:t>十五、完成区委、区政府交办的其他任务。</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pPr>
            <w:r>
              <w:t>单位名称</w:t>
            </w:r>
          </w:p>
        </w:tc>
        <w:tc>
          <w:tcPr>
            <w:tcW w:w="1843" w:type="dxa"/>
            <w:noWrap w:val="0"/>
            <w:vAlign w:val="center"/>
          </w:tcPr>
          <w:p>
            <w:pPr>
              <w:pStyle w:val="13"/>
            </w:pPr>
            <w:r>
              <w:t>单位性质</w:t>
            </w:r>
          </w:p>
        </w:tc>
        <w:tc>
          <w:tcPr>
            <w:tcW w:w="2126" w:type="dxa"/>
            <w:noWrap w:val="0"/>
            <w:vAlign w:val="center"/>
          </w:tcPr>
          <w:p>
            <w:pPr>
              <w:pStyle w:val="13"/>
            </w:pPr>
            <w:r>
              <w:t>单位规格</w:t>
            </w:r>
          </w:p>
        </w:tc>
        <w:tc>
          <w:tcPr>
            <w:tcW w:w="3827"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pPr>
            <w:r>
              <w:t>唐山市曹妃甸区文化广电和旅游局本级</w:t>
            </w:r>
          </w:p>
        </w:tc>
        <w:tc>
          <w:tcPr>
            <w:tcW w:w="1843" w:type="dxa"/>
            <w:noWrap w:val="0"/>
            <w:vAlign w:val="center"/>
          </w:tcPr>
          <w:p>
            <w:pPr>
              <w:pStyle w:val="16"/>
            </w:pPr>
            <w:r>
              <w:t>行政</w:t>
            </w:r>
          </w:p>
        </w:tc>
        <w:tc>
          <w:tcPr>
            <w:tcW w:w="2126" w:type="dxa"/>
            <w:noWrap w:val="0"/>
            <w:vAlign w:val="center"/>
          </w:tcPr>
          <w:p>
            <w:pPr>
              <w:pStyle w:val="16"/>
            </w:pPr>
            <w:r>
              <w:t>正科级</w:t>
            </w:r>
          </w:p>
        </w:tc>
        <w:tc>
          <w:tcPr>
            <w:tcW w:w="3827" w:type="dxa"/>
            <w:noWrap w:val="0"/>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w:t>
      </w:r>
      <w:r>
        <w:rPr>
          <w:rFonts w:hint="eastAsia" w:eastAsia="方正仿宋_GBK" w:cs="Times New Roman"/>
          <w:sz w:val="32"/>
          <w:szCs w:val="32"/>
          <w:lang w:val="zh-CN" w:eastAsia="zh-CN"/>
        </w:rPr>
        <w:t>单位</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年预算收入</w:t>
      </w:r>
      <w:r>
        <w:rPr>
          <w:rFonts w:ascii="方正书宋_GBK" w:eastAsia="方正书宋_GBK"/>
          <w:b/>
        </w:rPr>
        <w:t>1525.73</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zh-CN" w:eastAsia="zh-CN"/>
        </w:rPr>
        <w:t>年部门支出预算为</w:t>
      </w:r>
      <w:r>
        <w:rPr>
          <w:rFonts w:ascii="方正书宋_GBK" w:eastAsia="方正书宋_GBK"/>
          <w:b/>
        </w:rPr>
        <w:t>1525.73</w:t>
      </w:r>
      <w:r>
        <w:rPr>
          <w:rFonts w:hint="eastAsia" w:ascii="Times New Roman" w:hAnsi="Times New Roman" w:eastAsia="方正仿宋_GBK" w:cs="Times New Roman"/>
          <w:sz w:val="32"/>
          <w:szCs w:val="32"/>
          <w:lang w:val="zh-CN" w:eastAsia="zh-CN"/>
        </w:rPr>
        <w:t>万元，其中基本支出</w:t>
      </w:r>
      <w:r>
        <w:rPr>
          <w:rFonts w:ascii="方正书宋_GBK" w:eastAsia="方正书宋_GBK"/>
        </w:rPr>
        <w:t>497.03</w:t>
      </w:r>
      <w:r>
        <w:rPr>
          <w:rFonts w:hint="eastAsia" w:ascii="Times New Roman" w:hAnsi="Times New Roman" w:eastAsia="方正仿宋_GBK" w:cs="Times New Roman"/>
          <w:sz w:val="32"/>
          <w:szCs w:val="32"/>
          <w:lang w:val="zh-CN" w:eastAsia="zh-CN"/>
        </w:rPr>
        <w:t>万元，包括人员经费</w:t>
      </w:r>
      <w:r>
        <w:rPr>
          <w:rFonts w:ascii="方正书宋_GBK" w:eastAsia="方正书宋_GBK"/>
        </w:rPr>
        <w:t>457.73</w:t>
      </w:r>
      <w:r>
        <w:rPr>
          <w:rFonts w:hint="eastAsia" w:ascii="Times New Roman" w:hAnsi="Times New Roman" w:eastAsia="方正仿宋_GBK" w:cs="Times New Roman"/>
          <w:sz w:val="32"/>
          <w:szCs w:val="32"/>
          <w:lang w:val="zh-CN" w:eastAsia="zh-CN"/>
        </w:rPr>
        <w:t>万元和公用经费</w:t>
      </w:r>
      <w:r>
        <w:rPr>
          <w:rFonts w:ascii="方正书宋_GBK" w:eastAsia="方正书宋_GBK"/>
        </w:rPr>
        <w:t>39.30</w:t>
      </w:r>
      <w:r>
        <w:rPr>
          <w:rFonts w:hint="eastAsia" w:ascii="Times New Roman" w:hAnsi="Times New Roman" w:eastAsia="方正仿宋_GBK" w:cs="Times New Roman"/>
          <w:sz w:val="32"/>
          <w:szCs w:val="32"/>
          <w:lang w:val="zh-CN" w:eastAsia="zh-CN"/>
        </w:rPr>
        <w:t>万元，项目支出</w:t>
      </w:r>
      <w:r>
        <w:rPr>
          <w:rFonts w:ascii="方正书宋_GBK" w:eastAsia="方正书宋_GBK"/>
        </w:rPr>
        <w:t>1028.70</w:t>
      </w:r>
      <w:r>
        <w:rPr>
          <w:rFonts w:hint="eastAsia" w:ascii="Times New Roman" w:hAnsi="Times New Roman" w:eastAsia="方正仿宋_GBK" w:cs="Times New Roman"/>
          <w:sz w:val="32"/>
          <w:szCs w:val="32"/>
          <w:lang w:val="zh-CN"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年部门预算与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减少了</w:t>
      </w:r>
      <w:r>
        <w:rPr>
          <w:rFonts w:hint="eastAsia" w:eastAsia="方正仿宋_GBK" w:cs="Times New Roman"/>
          <w:sz w:val="32"/>
          <w:szCs w:val="32"/>
          <w:lang w:val="en-US" w:eastAsia="zh-CN"/>
        </w:rPr>
        <w:t>600.74</w:t>
      </w:r>
      <w:r>
        <w:rPr>
          <w:rFonts w:hint="eastAsia" w:ascii="Times New Roman" w:hAnsi="Times New Roman" w:eastAsia="方正仿宋_GBK" w:cs="Times New Roman"/>
          <w:sz w:val="32"/>
          <w:szCs w:val="32"/>
          <w:lang w:val="en-US" w:eastAsia="zh-CN"/>
        </w:rPr>
        <w:t>万元。项目支出减少</w:t>
      </w:r>
      <w:r>
        <w:rPr>
          <w:rFonts w:hint="eastAsia" w:eastAsia="方正仿宋_GBK" w:cs="Times New Roman"/>
          <w:sz w:val="32"/>
          <w:szCs w:val="32"/>
          <w:lang w:val="en-US" w:eastAsia="zh-CN"/>
        </w:rPr>
        <w:t>583.8</w:t>
      </w:r>
      <w:r>
        <w:rPr>
          <w:rFonts w:hint="eastAsia" w:ascii="Times New Roman" w:hAnsi="Times New Roman" w:eastAsia="方正仿宋_GBK" w:cs="Times New Roman"/>
          <w:sz w:val="32"/>
          <w:szCs w:val="32"/>
          <w:lang w:val="en-US" w:eastAsia="zh-CN"/>
        </w:rPr>
        <w:t>万元，原因是疫情影响安排其他文化和旅游专项预算资金减少；</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w:t>
      </w:r>
      <w:r>
        <w:rPr>
          <w:rFonts w:hint="eastAsia" w:eastAsia="方正仿宋_GBK" w:cs="Times New Roman"/>
          <w:sz w:val="32"/>
          <w:szCs w:val="32"/>
          <w:lang w:val="en-US" w:eastAsia="zh-CN"/>
        </w:rPr>
        <w:t>增加5.9</w:t>
      </w:r>
      <w:r>
        <w:rPr>
          <w:rFonts w:hint="eastAsia" w:ascii="Times New Roman" w:hAnsi="Times New Roman" w:eastAsia="方正仿宋_GBK" w:cs="Times New Roman"/>
          <w:sz w:val="32"/>
          <w:szCs w:val="32"/>
          <w:lang w:val="en-US" w:eastAsia="zh-CN"/>
        </w:rPr>
        <w:t>万元，公用经费减少</w:t>
      </w:r>
      <w:r>
        <w:rPr>
          <w:rFonts w:hint="eastAsia" w:eastAsia="方正仿宋_GBK" w:cs="Times New Roman"/>
          <w:sz w:val="32"/>
          <w:szCs w:val="32"/>
          <w:lang w:val="en-US" w:eastAsia="zh-CN"/>
        </w:rPr>
        <w:t>2.08</w:t>
      </w:r>
      <w:r>
        <w:rPr>
          <w:rFonts w:hint="eastAsia" w:ascii="Times New Roman" w:hAnsi="Times New Roman" w:eastAsia="方正仿宋_GBK" w:cs="Times New Roman"/>
          <w:sz w:val="32"/>
          <w:szCs w:val="32"/>
          <w:lang w:val="en-US" w:eastAsia="zh-CN"/>
        </w:rPr>
        <w:t>万元，原因是202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财政缩减经费，</w:t>
      </w:r>
      <w:r>
        <w:rPr>
          <w:rFonts w:hint="eastAsia" w:ascii="Times New Roman" w:hAnsi="Times New Roman" w:eastAsia="方正仿宋_GBK" w:cs="Times New Roman"/>
          <w:sz w:val="32"/>
          <w:szCs w:val="32"/>
          <w:lang w:val="en-US" w:eastAsia="zh-CN"/>
        </w:rPr>
        <w:t>在职人员减少。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_GB2312" w:hAnsi="??_GB2312" w:cs="??_GB2312"/>
          <w:kern w:val="0"/>
          <w:sz w:val="32"/>
          <w:szCs w:val="32"/>
        </w:rPr>
      </w:pPr>
      <w:r>
        <w:rPr>
          <w:rFonts w:hint="eastAsia" w:ascii="Times New Roman" w:hAnsi="Times New Roman" w:eastAsia="方正仿宋_GBK" w:cs="Times New Roman"/>
          <w:sz w:val="32"/>
          <w:szCs w:val="32"/>
          <w:lang w:val="zh-CN" w:eastAsia="zh-CN"/>
        </w:rPr>
        <w:t>机关运行经费共计安排</w:t>
      </w:r>
      <w:r>
        <w:rPr>
          <w:rFonts w:hint="eastAsia" w:ascii="??_GB2312" w:hAnsi="??_GB2312" w:cs="??_GB2312"/>
          <w:kern w:val="0"/>
          <w:sz w:val="32"/>
          <w:szCs w:val="32"/>
          <w:lang w:val="en-US" w:eastAsia="zh-CN"/>
        </w:rPr>
        <w:t>61.87</w:t>
      </w:r>
      <w:r>
        <w:rPr>
          <w:rFonts w:hint="eastAsia" w:ascii="Times New Roman" w:hAnsi="Times New Roman" w:eastAsia="方正仿宋_GBK" w:cs="Times New Roman"/>
          <w:sz w:val="32"/>
          <w:szCs w:val="32"/>
          <w:lang w:val="zh-CN" w:eastAsia="zh-CN"/>
        </w:rPr>
        <w:t>万元，主要用于保证机关正常运转的办公及印刷费、邮电费、差旅费、会议费、</w:t>
      </w:r>
      <w:r>
        <w:rPr>
          <w:rFonts w:hint="eastAsia" w:ascii="Times New Roman" w:hAnsi="Times New Roman" w:eastAsia="方正仿宋_GBK" w:cs="Times New Roman"/>
          <w:sz w:val="32"/>
          <w:szCs w:val="32"/>
          <w:lang w:val="en-US" w:eastAsia="zh-CN"/>
        </w:rPr>
        <w:t>公务接待费、</w:t>
      </w:r>
      <w:r>
        <w:rPr>
          <w:rFonts w:hint="eastAsia" w:ascii="Times New Roman" w:hAnsi="Times New Roman" w:eastAsia="方正仿宋_GBK" w:cs="Times New Roman"/>
          <w:sz w:val="32"/>
          <w:szCs w:val="32"/>
          <w:lang w:val="zh-CN" w:eastAsia="zh-CN"/>
        </w:rPr>
        <w:t>福利费、一般设备购置费、日常维修费、公务车运行维护费等支出。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年我部门财政拨款“三公”经费预算安排</w:t>
      </w:r>
      <w:r>
        <w:rPr>
          <w:rFonts w:hint="eastAsia" w:eastAsia="方正仿宋_GBK" w:cs="Times New Roman"/>
          <w:sz w:val="32"/>
          <w:szCs w:val="32"/>
          <w:lang w:val="en-US" w:eastAsia="zh-CN"/>
        </w:rPr>
        <w:t>11.8</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年“三公经费”</w:t>
      </w:r>
      <w:r>
        <w:rPr>
          <w:rFonts w:hint="eastAsia" w:eastAsia="方正仿宋_GBK" w:cs="Times New Roman"/>
          <w:sz w:val="32"/>
          <w:szCs w:val="32"/>
          <w:lang w:val="en-US" w:eastAsia="zh-CN"/>
        </w:rPr>
        <w:t>增加2.8</w:t>
      </w:r>
      <w:r>
        <w:rPr>
          <w:rFonts w:hint="eastAsia" w:ascii="Times New Roman" w:hAnsi="Times New Roman" w:eastAsia="方正仿宋_GBK" w:cs="Times New Roman"/>
          <w:sz w:val="32"/>
          <w:szCs w:val="32"/>
          <w:lang w:val="zh-CN" w:eastAsia="zh-CN"/>
        </w:rPr>
        <w:t>万元，具体安排情况为：</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eastAsia="方正仿宋_GBK" w:cs="Times New Roman"/>
          <w:sz w:val="32"/>
          <w:szCs w:val="32"/>
          <w:lang w:val="en-US" w:eastAsia="zh-CN"/>
        </w:rPr>
        <w:t>9</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eastAsia="方正仿宋_GBK" w:cs="Times New Roman"/>
          <w:sz w:val="32"/>
          <w:szCs w:val="32"/>
          <w:lang w:val="en-US" w:eastAsia="zh-CN"/>
        </w:rPr>
        <w:t>公务用车购置费增加5万，用于流动服务车的购置，与2021年相比增加5万元,。</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w:t>
      </w:r>
      <w:r>
        <w:rPr>
          <w:rFonts w:hint="eastAsia" w:eastAsia="方正仿宋_GBK" w:cs="Times New Roman"/>
          <w:sz w:val="32"/>
          <w:szCs w:val="32"/>
          <w:lang w:val="en-US" w:eastAsia="zh-CN"/>
        </w:rPr>
        <w:t>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公务接待费。安排</w:t>
      </w:r>
      <w:r>
        <w:rPr>
          <w:rFonts w:hint="eastAsia" w:eastAsia="方正仿宋_GBK" w:cs="Times New Roman"/>
          <w:sz w:val="32"/>
          <w:szCs w:val="32"/>
          <w:lang w:val="en-US" w:eastAsia="zh-CN"/>
        </w:rPr>
        <w:t>2.4</w:t>
      </w:r>
      <w:r>
        <w:rPr>
          <w:rFonts w:hint="eastAsia" w:ascii="Times New Roman" w:hAnsi="Times New Roman" w:eastAsia="方正仿宋_GBK" w:cs="Times New Roman"/>
          <w:sz w:val="32"/>
          <w:szCs w:val="32"/>
          <w:lang w:val="zh-CN" w:eastAsia="zh-CN"/>
        </w:rPr>
        <w:t>万元，与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0.1</w:t>
      </w:r>
      <w:r>
        <w:rPr>
          <w:rFonts w:hint="eastAsia" w:ascii="Times New Roman" w:hAnsi="Times New Roman" w:eastAsia="方正仿宋_GBK" w:cs="Times New Roman"/>
          <w:sz w:val="32"/>
          <w:szCs w:val="32"/>
          <w:lang w:val="en-US" w:eastAsia="zh-CN"/>
        </w:rPr>
        <w:t>万元，减少原因是继续按照精简节约原则，压缩公务接待费用。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年预算持平，无增减变化。</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zh-CN" w:eastAsia="zh-CN"/>
        </w:rPr>
        <w:t>会议费。共计安排</w:t>
      </w:r>
      <w:r>
        <w:rPr>
          <w:rFonts w:hint="eastAsia" w:eastAsia="方正仿宋_GBK" w:cs="Times New Roman"/>
          <w:sz w:val="32"/>
          <w:szCs w:val="32"/>
          <w:lang w:val="en-US" w:eastAsia="zh-CN"/>
        </w:rPr>
        <w:t>0.5，较上年预算增加0.5万元。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1、旅游规划项目工作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部门职责分类绩效目标：旅游产业市场主体增长，旅游商品开发进程加快，旅游项目招商引资投资额提升，游客增长率等旅游统计指标增长。</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2、旅游行业管理</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部门职责分类绩效目标：A级景区增加数量、工农业旅游示范点增加数量、星级饭店评定数量、交通标识系统增加数量、旅游从业人员素质提升水平。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3、旅游宣传及信息化建设</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4、旅游市场推广及交流合作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pPr>
        <w:spacing w:before="0" w:after="0"/>
        <w:ind w:firstLine="560"/>
        <w:jc w:val="left"/>
        <w:outlineLvl w:val="9"/>
      </w:pPr>
      <w:r>
        <w:rPr>
          <w:rFonts w:ascii="方正仿宋_GBK" w:hAnsi="方正仿宋_GBK" w:eastAsia="方正仿宋_GBK" w:cs="方正仿宋_GBK"/>
          <w:b/>
          <w:color w:val="000000"/>
          <w:sz w:val="28"/>
        </w:rPr>
        <w:t>1、2022文化站免费开放区级配套资金绩效目标表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公共文化服务设施达标率</w:t>
            </w:r>
          </w:p>
        </w:tc>
        <w:tc>
          <w:tcPr>
            <w:tcW w:w="2835" w:type="dxa"/>
            <w:noWrap w:val="0"/>
            <w:vAlign w:val="center"/>
          </w:tcPr>
          <w:p>
            <w:pPr>
              <w:pStyle w:val="15"/>
            </w:pPr>
            <w:r>
              <w:t>公共文化服务设施达标率</w:t>
            </w:r>
          </w:p>
        </w:tc>
        <w:tc>
          <w:tcPr>
            <w:tcW w:w="2551" w:type="dxa"/>
            <w:noWrap w:val="0"/>
            <w:vAlign w:val="center"/>
          </w:tcPr>
          <w:p>
            <w:pPr>
              <w:pStyle w:val="15"/>
            </w:pPr>
            <w:r>
              <w:t>公共文化服务设施达标率</w:t>
            </w:r>
          </w:p>
        </w:tc>
        <w:tc>
          <w:tcPr>
            <w:tcW w:w="2268" w:type="dxa"/>
            <w:noWrap w:val="0"/>
            <w:vAlign w:val="center"/>
          </w:tcPr>
          <w:p>
            <w:pPr>
              <w:pStyle w:val="15"/>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公共文化场馆流通人次</w:t>
            </w:r>
          </w:p>
        </w:tc>
        <w:tc>
          <w:tcPr>
            <w:tcW w:w="2835" w:type="dxa"/>
            <w:noWrap w:val="0"/>
            <w:vAlign w:val="center"/>
          </w:tcPr>
          <w:p>
            <w:pPr>
              <w:pStyle w:val="15"/>
            </w:pPr>
            <w:r>
              <w:t>公共文化场馆流通人次</w:t>
            </w:r>
          </w:p>
        </w:tc>
        <w:tc>
          <w:tcPr>
            <w:tcW w:w="2551" w:type="dxa"/>
            <w:noWrap w:val="0"/>
            <w:vAlign w:val="center"/>
          </w:tcPr>
          <w:p>
            <w:pPr>
              <w:pStyle w:val="15"/>
            </w:pPr>
            <w:r>
              <w:t>公共文化场馆流通人次</w:t>
            </w:r>
          </w:p>
        </w:tc>
        <w:tc>
          <w:tcPr>
            <w:tcW w:w="2268" w:type="dxa"/>
            <w:noWrap w:val="0"/>
            <w:vAlign w:val="center"/>
          </w:tcPr>
          <w:p>
            <w:pPr>
              <w:pStyle w:val="15"/>
            </w:pPr>
            <w:r>
              <w:t>公共文化场馆流通人次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提高效率</w:t>
            </w:r>
          </w:p>
        </w:tc>
        <w:tc>
          <w:tcPr>
            <w:tcW w:w="2835" w:type="dxa"/>
            <w:noWrap w:val="0"/>
            <w:vAlign w:val="center"/>
          </w:tcPr>
          <w:p>
            <w:pPr>
              <w:pStyle w:val="15"/>
            </w:pPr>
            <w:r>
              <w:t>提高效率</w:t>
            </w:r>
          </w:p>
        </w:tc>
        <w:tc>
          <w:tcPr>
            <w:tcW w:w="2551" w:type="dxa"/>
            <w:noWrap w:val="0"/>
            <w:vAlign w:val="center"/>
          </w:tcPr>
          <w:p>
            <w:pPr>
              <w:pStyle w:val="15"/>
            </w:pPr>
            <w:r>
              <w:t>提高效率</w:t>
            </w:r>
          </w:p>
        </w:tc>
        <w:tc>
          <w:tcPr>
            <w:tcW w:w="2268" w:type="dxa"/>
            <w:noWrap w:val="0"/>
            <w:vAlign w:val="center"/>
          </w:tcPr>
          <w:p>
            <w:pPr>
              <w:pStyle w:val="15"/>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生态效益指标</w:t>
            </w:r>
          </w:p>
        </w:tc>
        <w:tc>
          <w:tcPr>
            <w:tcW w:w="2835" w:type="dxa"/>
            <w:noWrap w:val="0"/>
            <w:vAlign w:val="center"/>
          </w:tcPr>
          <w:p>
            <w:pPr>
              <w:pStyle w:val="15"/>
            </w:pPr>
            <w:r>
              <w:t>生态效益指标</w:t>
            </w:r>
          </w:p>
        </w:tc>
        <w:tc>
          <w:tcPr>
            <w:tcW w:w="2551" w:type="dxa"/>
            <w:noWrap w:val="0"/>
            <w:vAlign w:val="center"/>
          </w:tcPr>
          <w:p>
            <w:pPr>
              <w:pStyle w:val="15"/>
            </w:pPr>
            <w:r>
              <w:t>生态效益指标</w:t>
            </w:r>
          </w:p>
        </w:tc>
        <w:tc>
          <w:tcPr>
            <w:tcW w:w="2268" w:type="dxa"/>
            <w:noWrap w:val="0"/>
            <w:vAlign w:val="center"/>
          </w:tcPr>
          <w:p>
            <w:pPr>
              <w:pStyle w:val="15"/>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维护社会稳定</w:t>
            </w:r>
          </w:p>
        </w:tc>
        <w:tc>
          <w:tcPr>
            <w:tcW w:w="2835" w:type="dxa"/>
            <w:noWrap w:val="0"/>
            <w:vAlign w:val="center"/>
          </w:tcPr>
          <w:p>
            <w:pPr>
              <w:pStyle w:val="15"/>
            </w:pPr>
            <w:r>
              <w:t>维护社会稳定</w:t>
            </w:r>
          </w:p>
        </w:tc>
        <w:tc>
          <w:tcPr>
            <w:tcW w:w="2551" w:type="dxa"/>
            <w:noWrap w:val="0"/>
            <w:vAlign w:val="center"/>
          </w:tcPr>
          <w:p>
            <w:pPr>
              <w:pStyle w:val="15"/>
            </w:pPr>
            <w:r>
              <w:t>维护社会稳定</w:t>
            </w:r>
          </w:p>
        </w:tc>
        <w:tc>
          <w:tcPr>
            <w:tcW w:w="2268" w:type="dxa"/>
            <w:noWrap w:val="0"/>
            <w:vAlign w:val="center"/>
          </w:tcPr>
          <w:p>
            <w:pPr>
              <w:pStyle w:val="15"/>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2、旅游活动专项公用经费绩效目标表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1.旅游活动专项公用经费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举办活动场次</w:t>
            </w:r>
          </w:p>
        </w:tc>
        <w:tc>
          <w:tcPr>
            <w:tcW w:w="2835" w:type="dxa"/>
            <w:noWrap w:val="0"/>
            <w:vAlign w:val="center"/>
          </w:tcPr>
          <w:p>
            <w:pPr>
              <w:pStyle w:val="15"/>
            </w:pPr>
            <w:r>
              <w:t>举办活动场次</w:t>
            </w:r>
          </w:p>
        </w:tc>
        <w:tc>
          <w:tcPr>
            <w:tcW w:w="2551" w:type="dxa"/>
            <w:noWrap w:val="0"/>
            <w:vAlign w:val="center"/>
          </w:tcPr>
          <w:p>
            <w:pPr>
              <w:pStyle w:val="15"/>
            </w:pPr>
            <w:r>
              <w:t>举办活动场次</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网络生态环境</w:t>
            </w:r>
          </w:p>
        </w:tc>
        <w:tc>
          <w:tcPr>
            <w:tcW w:w="2835" w:type="dxa"/>
            <w:noWrap w:val="0"/>
            <w:vAlign w:val="center"/>
          </w:tcPr>
          <w:p>
            <w:pPr>
              <w:pStyle w:val="15"/>
            </w:pPr>
            <w:r>
              <w:t>网络生态环境</w:t>
            </w:r>
          </w:p>
        </w:tc>
        <w:tc>
          <w:tcPr>
            <w:tcW w:w="2551" w:type="dxa"/>
            <w:noWrap w:val="0"/>
            <w:vAlign w:val="center"/>
          </w:tcPr>
          <w:p>
            <w:pPr>
              <w:pStyle w:val="15"/>
            </w:pPr>
            <w:r>
              <w:t>网络生态环境</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提高效率</w:t>
            </w:r>
          </w:p>
        </w:tc>
        <w:tc>
          <w:tcPr>
            <w:tcW w:w="2835" w:type="dxa"/>
            <w:noWrap w:val="0"/>
            <w:vAlign w:val="center"/>
          </w:tcPr>
          <w:p>
            <w:pPr>
              <w:pStyle w:val="15"/>
            </w:pPr>
            <w:r>
              <w:t>提高效率</w:t>
            </w:r>
          </w:p>
        </w:tc>
        <w:tc>
          <w:tcPr>
            <w:tcW w:w="2551" w:type="dxa"/>
            <w:noWrap w:val="0"/>
            <w:vAlign w:val="center"/>
          </w:tcPr>
          <w:p>
            <w:pPr>
              <w:pStyle w:val="15"/>
            </w:pPr>
            <w:r>
              <w:t>提高效率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对区域生态改善</w:t>
            </w:r>
          </w:p>
        </w:tc>
        <w:tc>
          <w:tcPr>
            <w:tcW w:w="2835" w:type="dxa"/>
            <w:noWrap w:val="0"/>
            <w:vAlign w:val="center"/>
          </w:tcPr>
          <w:p>
            <w:pPr>
              <w:pStyle w:val="15"/>
            </w:pPr>
            <w:r>
              <w:t>对区域生态改善</w:t>
            </w:r>
          </w:p>
        </w:tc>
        <w:tc>
          <w:tcPr>
            <w:tcW w:w="2551" w:type="dxa"/>
            <w:noWrap w:val="0"/>
            <w:vAlign w:val="center"/>
          </w:tcPr>
          <w:p>
            <w:pPr>
              <w:pStyle w:val="15"/>
            </w:pPr>
            <w:r>
              <w:t>对区域生态改善</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1.旅游专项资金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各项任务完成及时率（%）</w:t>
            </w:r>
          </w:p>
        </w:tc>
        <w:tc>
          <w:tcPr>
            <w:tcW w:w="2835" w:type="dxa"/>
            <w:noWrap w:val="0"/>
            <w:vAlign w:val="center"/>
          </w:tcPr>
          <w:p>
            <w:pPr>
              <w:pStyle w:val="15"/>
            </w:pPr>
            <w:r>
              <w:t>各项任务完成及时率（%）</w:t>
            </w:r>
          </w:p>
        </w:tc>
        <w:tc>
          <w:tcPr>
            <w:tcW w:w="2551" w:type="dxa"/>
            <w:noWrap w:val="0"/>
            <w:vAlign w:val="center"/>
          </w:tcPr>
          <w:p>
            <w:pPr>
              <w:pStyle w:val="15"/>
            </w:pPr>
            <w:r>
              <w:t>各项任务完成及时率（%）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监测数据合格率</w:t>
            </w:r>
          </w:p>
        </w:tc>
        <w:tc>
          <w:tcPr>
            <w:tcW w:w="2835" w:type="dxa"/>
            <w:noWrap w:val="0"/>
            <w:vAlign w:val="center"/>
          </w:tcPr>
          <w:p>
            <w:pPr>
              <w:pStyle w:val="15"/>
            </w:pPr>
            <w:r>
              <w:t>监测数据合格率</w:t>
            </w:r>
          </w:p>
        </w:tc>
        <w:tc>
          <w:tcPr>
            <w:tcW w:w="2551" w:type="dxa"/>
            <w:noWrap w:val="0"/>
            <w:vAlign w:val="center"/>
          </w:tcPr>
          <w:p>
            <w:pPr>
              <w:pStyle w:val="15"/>
            </w:pPr>
            <w:r>
              <w:t>监测数据合格率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活动参与人员满意度</w:t>
            </w:r>
          </w:p>
        </w:tc>
        <w:tc>
          <w:tcPr>
            <w:tcW w:w="2835" w:type="dxa"/>
            <w:noWrap w:val="0"/>
            <w:vAlign w:val="center"/>
          </w:tcPr>
          <w:p>
            <w:pPr>
              <w:pStyle w:val="15"/>
            </w:pPr>
            <w:r>
              <w:t>活动参与人员满意度</w:t>
            </w:r>
          </w:p>
        </w:tc>
        <w:tc>
          <w:tcPr>
            <w:tcW w:w="2551" w:type="dxa"/>
            <w:noWrap w:val="0"/>
            <w:vAlign w:val="center"/>
          </w:tcPr>
          <w:p>
            <w:pPr>
              <w:pStyle w:val="15"/>
            </w:pPr>
            <w:r>
              <w:t>活动参与人员满意度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4、文化活动专项公用经费绩效目标表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1.保证文化活动顺利进行</w:t>
            </w:r>
          </w:p>
          <w:p>
            <w:pPr>
              <w:pStyle w:val="15"/>
            </w:pPr>
            <w:r>
              <w:t>2.保证文化活动顺利进行</w:t>
            </w:r>
          </w:p>
          <w:p>
            <w:pPr>
              <w:pStyle w:val="15"/>
            </w:pPr>
            <w:r>
              <w:t>3.保证文化活动顺利进行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公共文化场馆流通人次</w:t>
            </w:r>
          </w:p>
        </w:tc>
        <w:tc>
          <w:tcPr>
            <w:tcW w:w="2835" w:type="dxa"/>
            <w:noWrap w:val="0"/>
            <w:vAlign w:val="center"/>
          </w:tcPr>
          <w:p>
            <w:pPr>
              <w:pStyle w:val="15"/>
            </w:pPr>
            <w:r>
              <w:t>公共文化场馆流通人次</w:t>
            </w:r>
          </w:p>
        </w:tc>
        <w:tc>
          <w:tcPr>
            <w:tcW w:w="2551" w:type="dxa"/>
            <w:noWrap w:val="0"/>
            <w:vAlign w:val="center"/>
          </w:tcPr>
          <w:p>
            <w:pPr>
              <w:pStyle w:val="15"/>
            </w:pPr>
            <w:r>
              <w:t>公共文化场馆流通人次</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水资源利用率</w:t>
            </w:r>
          </w:p>
        </w:tc>
        <w:tc>
          <w:tcPr>
            <w:tcW w:w="2835" w:type="dxa"/>
            <w:noWrap w:val="0"/>
            <w:vAlign w:val="center"/>
          </w:tcPr>
          <w:p>
            <w:pPr>
              <w:pStyle w:val="15"/>
            </w:pPr>
            <w:r>
              <w:t>水资源利用率</w:t>
            </w:r>
          </w:p>
        </w:tc>
        <w:tc>
          <w:tcPr>
            <w:tcW w:w="2551" w:type="dxa"/>
            <w:noWrap w:val="0"/>
            <w:vAlign w:val="center"/>
          </w:tcPr>
          <w:p>
            <w:pPr>
              <w:pStyle w:val="15"/>
            </w:pPr>
            <w:r>
              <w:t>水资源利用率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5、文化专项资金绩效目标表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1.文化专项资金支付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成本节约</w:t>
            </w:r>
          </w:p>
        </w:tc>
        <w:tc>
          <w:tcPr>
            <w:tcW w:w="2835" w:type="dxa"/>
            <w:noWrap w:val="0"/>
            <w:vAlign w:val="center"/>
          </w:tcPr>
          <w:p>
            <w:pPr>
              <w:pStyle w:val="15"/>
            </w:pPr>
            <w:r>
              <w:t>成本节约</w:t>
            </w:r>
          </w:p>
        </w:tc>
        <w:tc>
          <w:tcPr>
            <w:tcW w:w="2551" w:type="dxa"/>
            <w:noWrap w:val="0"/>
            <w:vAlign w:val="center"/>
          </w:tcPr>
          <w:p>
            <w:pPr>
              <w:pStyle w:val="15"/>
            </w:pPr>
            <w:r>
              <w:t>成本节约</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生态影响</w:t>
            </w:r>
          </w:p>
        </w:tc>
        <w:tc>
          <w:tcPr>
            <w:tcW w:w="2835" w:type="dxa"/>
            <w:noWrap w:val="0"/>
            <w:vAlign w:val="center"/>
          </w:tcPr>
          <w:p>
            <w:pPr>
              <w:pStyle w:val="15"/>
            </w:pPr>
            <w:r>
              <w:t>生态影响</w:t>
            </w:r>
          </w:p>
        </w:tc>
        <w:tc>
          <w:tcPr>
            <w:tcW w:w="2551" w:type="dxa"/>
            <w:noWrap w:val="0"/>
            <w:vAlign w:val="center"/>
          </w:tcPr>
          <w:p>
            <w:pPr>
              <w:pStyle w:val="15"/>
            </w:pPr>
            <w:r>
              <w:t>生态影响</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活动参与人员满意度</w:t>
            </w:r>
          </w:p>
        </w:tc>
        <w:tc>
          <w:tcPr>
            <w:tcW w:w="2835" w:type="dxa"/>
            <w:noWrap w:val="0"/>
            <w:vAlign w:val="center"/>
          </w:tcPr>
          <w:p>
            <w:pPr>
              <w:pStyle w:val="15"/>
            </w:pPr>
            <w:r>
              <w:t>活动参与人员满意度</w:t>
            </w:r>
          </w:p>
        </w:tc>
        <w:tc>
          <w:tcPr>
            <w:tcW w:w="2551" w:type="dxa"/>
            <w:noWrap w:val="0"/>
            <w:vAlign w:val="center"/>
          </w:tcPr>
          <w:p>
            <w:pPr>
              <w:pStyle w:val="15"/>
            </w:pPr>
            <w:r>
              <w:t>活动参与人员满意度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、医药费绩效目标表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1.医药费支付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成本指标</w:t>
            </w:r>
          </w:p>
        </w:tc>
        <w:tc>
          <w:tcPr>
            <w:tcW w:w="2835" w:type="dxa"/>
            <w:noWrap w:val="0"/>
            <w:vAlign w:val="center"/>
          </w:tcPr>
          <w:p>
            <w:pPr>
              <w:pStyle w:val="15"/>
            </w:pPr>
            <w:r>
              <w:t>成本控制</w:t>
            </w:r>
          </w:p>
        </w:tc>
        <w:tc>
          <w:tcPr>
            <w:tcW w:w="2835" w:type="dxa"/>
            <w:noWrap w:val="0"/>
            <w:vAlign w:val="center"/>
          </w:tcPr>
          <w:p>
            <w:pPr>
              <w:pStyle w:val="15"/>
            </w:pPr>
            <w:r>
              <w:t>成本控制</w:t>
            </w:r>
          </w:p>
        </w:tc>
        <w:tc>
          <w:tcPr>
            <w:tcW w:w="2551" w:type="dxa"/>
            <w:noWrap w:val="0"/>
            <w:vAlign w:val="center"/>
          </w:tcPr>
          <w:p>
            <w:pPr>
              <w:pStyle w:val="15"/>
            </w:pPr>
            <w:r>
              <w:t>成本控制</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正常使用率</w:t>
            </w:r>
          </w:p>
        </w:tc>
        <w:tc>
          <w:tcPr>
            <w:tcW w:w="2835" w:type="dxa"/>
            <w:noWrap w:val="0"/>
            <w:vAlign w:val="center"/>
          </w:tcPr>
          <w:p>
            <w:pPr>
              <w:pStyle w:val="15"/>
            </w:pPr>
            <w:r>
              <w:t>正常使用率</w:t>
            </w:r>
          </w:p>
        </w:tc>
        <w:tc>
          <w:tcPr>
            <w:tcW w:w="2551" w:type="dxa"/>
            <w:noWrap w:val="0"/>
            <w:vAlign w:val="center"/>
          </w:tcPr>
          <w:p>
            <w:pPr>
              <w:pStyle w:val="15"/>
            </w:pPr>
            <w:r>
              <w:t>正常使用率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工作完成时间</w:t>
            </w:r>
          </w:p>
        </w:tc>
        <w:tc>
          <w:tcPr>
            <w:tcW w:w="2835" w:type="dxa"/>
            <w:noWrap w:val="0"/>
            <w:vAlign w:val="center"/>
          </w:tcPr>
          <w:p>
            <w:pPr>
              <w:pStyle w:val="15"/>
            </w:pPr>
            <w:r>
              <w:t>工作完成时间</w:t>
            </w:r>
          </w:p>
        </w:tc>
        <w:tc>
          <w:tcPr>
            <w:tcW w:w="2551" w:type="dxa"/>
            <w:noWrap w:val="0"/>
            <w:vAlign w:val="center"/>
          </w:tcPr>
          <w:p>
            <w:pPr>
              <w:pStyle w:val="15"/>
            </w:pPr>
            <w:r>
              <w:t>工作完成时间</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提供优质服务</w:t>
            </w:r>
          </w:p>
        </w:tc>
        <w:tc>
          <w:tcPr>
            <w:tcW w:w="2835" w:type="dxa"/>
            <w:noWrap w:val="0"/>
            <w:vAlign w:val="center"/>
          </w:tcPr>
          <w:p>
            <w:pPr>
              <w:pStyle w:val="15"/>
            </w:pPr>
            <w:r>
              <w:t>提供优质服务</w:t>
            </w:r>
          </w:p>
        </w:tc>
        <w:tc>
          <w:tcPr>
            <w:tcW w:w="2551" w:type="dxa"/>
            <w:noWrap w:val="0"/>
            <w:vAlign w:val="center"/>
          </w:tcPr>
          <w:p>
            <w:pPr>
              <w:pStyle w:val="15"/>
            </w:pPr>
            <w:r>
              <w:t>提供优质服务</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办理人群体验度(%)</w:t>
            </w:r>
          </w:p>
        </w:tc>
        <w:tc>
          <w:tcPr>
            <w:tcW w:w="2835" w:type="dxa"/>
            <w:noWrap w:val="0"/>
            <w:vAlign w:val="center"/>
          </w:tcPr>
          <w:p>
            <w:pPr>
              <w:pStyle w:val="15"/>
            </w:pPr>
            <w:r>
              <w:t>办理人群体验度(%)</w:t>
            </w:r>
          </w:p>
        </w:tc>
        <w:tc>
          <w:tcPr>
            <w:tcW w:w="2551" w:type="dxa"/>
            <w:noWrap w:val="0"/>
            <w:vAlign w:val="center"/>
          </w:tcPr>
          <w:p>
            <w:pPr>
              <w:pStyle w:val="15"/>
            </w:pPr>
            <w:r>
              <w:t>办理人群体验度(%)</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被慰问人员满意度</w:t>
            </w:r>
          </w:p>
        </w:tc>
        <w:tc>
          <w:tcPr>
            <w:tcW w:w="2835" w:type="dxa"/>
            <w:noWrap w:val="0"/>
            <w:vAlign w:val="center"/>
          </w:tcPr>
          <w:p>
            <w:pPr>
              <w:pStyle w:val="15"/>
            </w:pPr>
            <w:r>
              <w:t>被慰问人员满意度</w:t>
            </w:r>
          </w:p>
        </w:tc>
        <w:tc>
          <w:tcPr>
            <w:tcW w:w="2551" w:type="dxa"/>
            <w:noWrap w:val="0"/>
            <w:vAlign w:val="center"/>
          </w:tcPr>
          <w:p>
            <w:pPr>
              <w:pStyle w:val="15"/>
            </w:pPr>
            <w:r>
              <w:t>被慰问人员满意度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年，唐山市曹妃甸区文化广电和旅游局本级安排政府采购预算</w:t>
      </w:r>
      <w:r>
        <w:rPr>
          <w:rFonts w:hint="eastAsia" w:eastAsia="方正仿宋_GBK" w:cs="Times New Roman"/>
          <w:b w:val="0"/>
          <w:color w:val="000000"/>
          <w:sz w:val="28"/>
          <w:lang w:val="en-US" w:eastAsia="zh-CN"/>
        </w:rPr>
        <w:t>111.3</w:t>
      </w:r>
      <w:r>
        <w:rPr>
          <w:rFonts w:ascii="Times New Roman" w:hAnsi="Times New Roman" w:eastAsia="方正仿宋_GBK" w:cs="Times New Roman"/>
          <w:b w:val="0"/>
          <w:color w:val="000000"/>
          <w:sz w:val="28"/>
        </w:rPr>
        <w:t>万元。具体内容见下表。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2" w:name="_Toc34228477"/>
      <w:r>
        <w:rPr>
          <w:rFonts w:hint="eastAsia" w:ascii="方正小标宋_GBK" w:eastAsia="方正小标宋_GBK"/>
          <w:sz w:val="32"/>
        </w:rPr>
        <w:instrText xml:space="preserve">部门政府采购预算</w:instrText>
      </w:r>
      <w:bookmarkEnd w:id="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1008"/>
        <w:gridCol w:w="103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0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ascii="方正小标宋_GBK" w:eastAsia="方正小标宋_GBK"/>
                <w:sz w:val="24"/>
              </w:rPr>
              <w:t>357</w:t>
            </w:r>
            <w:r>
              <w:rPr>
                <w:rFonts w:hint="eastAsia" w:ascii="方正小标宋_GBK" w:eastAsia="方正小标宋_GBK"/>
                <w:sz w:val="24"/>
                <w:lang w:val="en-US" w:eastAsia="zh-CN"/>
              </w:rPr>
              <w:t>001</w:t>
            </w:r>
            <w:r>
              <w:rPr>
                <w:rFonts w:hint="eastAsia" w:ascii="方正小标宋_GBK" w:eastAsia="方正小标宋_GBK"/>
                <w:sz w:val="24"/>
              </w:rPr>
              <w:t>曹妃甸区</w:t>
            </w:r>
            <w:r>
              <w:rPr>
                <w:rFonts w:hint="eastAsia" w:ascii="方正小标宋_GBK" w:eastAsia="方正小标宋_GBK"/>
                <w:sz w:val="24"/>
                <w:lang w:eastAsia="zh-CN"/>
              </w:rPr>
              <w:t>文化广电和旅游</w:t>
            </w:r>
            <w:r>
              <w:rPr>
                <w:rFonts w:hint="eastAsia" w:ascii="方正小标宋_GBK" w:eastAsia="方正小标宋_GBK"/>
                <w:sz w:val="24"/>
              </w:rPr>
              <w:t>局</w:t>
            </w:r>
            <w:r>
              <w:rPr>
                <w:rFonts w:hint="eastAsia" w:ascii="方正小标宋_GBK" w:eastAsia="方正小标宋_GBK"/>
                <w:sz w:val="24"/>
                <w:lang w:val="en-US" w:eastAsia="zh-CN"/>
              </w:rPr>
              <w:t>(本级）</w:t>
            </w:r>
          </w:p>
        </w:tc>
        <w:tc>
          <w:tcPr>
            <w:tcW w:w="6703"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0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703"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0"/>
              <w:rPr>
                <w:rFonts w:eastAsia="方正仿宋_GBK"/>
                <w:sz w:val="28"/>
              </w:rPr>
            </w:pPr>
          </w:p>
        </w:tc>
        <w:tc>
          <w:tcPr>
            <w:tcW w:w="1531" w:type="dxa"/>
            <w:vMerge w:val="continue"/>
            <w:noWrap w:val="0"/>
            <w:vAlign w:val="center"/>
          </w:tcPr>
          <w:p>
            <w:pPr>
              <w:spacing w:line="300" w:lineRule="exact"/>
              <w:jc w:val="left"/>
              <w:outlineLvl w:val="0"/>
              <w:rPr>
                <w:rFonts w:eastAsia="方正仿宋_GBK"/>
                <w:sz w:val="28"/>
              </w:rPr>
            </w:pPr>
          </w:p>
        </w:tc>
        <w:tc>
          <w:tcPr>
            <w:tcW w:w="709"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1008" w:type="dxa"/>
            <w:vMerge w:val="continue"/>
            <w:noWrap w:val="0"/>
            <w:vAlign w:val="center"/>
          </w:tcPr>
          <w:p>
            <w:pPr>
              <w:spacing w:line="300" w:lineRule="exact"/>
              <w:jc w:val="left"/>
              <w:outlineLvl w:val="0"/>
              <w:rPr>
                <w:rFonts w:eastAsia="方正仿宋_GBK"/>
                <w:sz w:val="28"/>
              </w:rPr>
            </w:pPr>
          </w:p>
        </w:tc>
        <w:tc>
          <w:tcPr>
            <w:tcW w:w="103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曹妃甸区</w:t>
            </w:r>
            <w:r>
              <w:rPr>
                <w:rFonts w:hint="eastAsia" w:ascii="方正书宋_GBK" w:eastAsia="方正书宋_GBK"/>
                <w:b/>
                <w:lang w:eastAsia="zh-CN"/>
              </w:rPr>
              <w:t>文化广电和旅游</w:t>
            </w:r>
            <w:r>
              <w:rPr>
                <w:rFonts w:hint="eastAsia" w:ascii="方正书宋_GBK" w:eastAsia="方正书宋_GBK"/>
                <w:b/>
              </w:rPr>
              <w:t>局小计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图书馆流动服务车</w:t>
            </w: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w:t>
            </w:r>
            <w:r>
              <w:rPr>
                <w:rFonts w:ascii="方正书宋_GBK" w:eastAsia="方正书宋_GBK"/>
              </w:rPr>
              <w:t>.00</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其他车辆</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A020399</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辆</w:t>
            </w:r>
          </w:p>
        </w:tc>
        <w:tc>
          <w:tcPr>
            <w:tcW w:w="907"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1008"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03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智慧图书馆数字资源体验区建设</w:t>
            </w:r>
          </w:p>
          <w:p>
            <w:pPr>
              <w:spacing w:line="300" w:lineRule="exact"/>
              <w:jc w:val="left"/>
              <w:rPr>
                <w:rFonts w:hint="eastAsia"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13</w:t>
            </w:r>
            <w:r>
              <w:rPr>
                <w:rFonts w:ascii="方正书宋_GBK" w:eastAsia="方正书宋_GBK"/>
              </w:rPr>
              <w:t>.00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08"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13</w:t>
            </w:r>
            <w:r>
              <w:rPr>
                <w:rFonts w:ascii="方正书宋_GBK" w:eastAsia="方正书宋_GBK"/>
              </w:rPr>
              <w:t>.00</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曹妃甸区全域旅游示范区创建</w:t>
            </w:r>
          </w:p>
          <w:p>
            <w:pPr>
              <w:spacing w:line="300" w:lineRule="exact"/>
              <w:jc w:val="left"/>
              <w:rPr>
                <w:rFonts w:hint="eastAsia" w:ascii="方正书宋_GBK" w:eastAsia="方正书宋_GBK"/>
              </w:rPr>
            </w:pP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93.30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08"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033"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60" w:lineRule="auto"/>
        <w:ind w:firstLine="640"/>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唐山市曹妃甸区文化广电和旅游局本级上年末固定资产金额为</w:t>
      </w:r>
      <w:r>
        <w:rPr>
          <w:rFonts w:hint="eastAsia" w:eastAsia="方正仿宋_GBK" w:cs="Times New Roman"/>
          <w:b w:val="0"/>
          <w:color w:val="000000"/>
          <w:sz w:val="28"/>
          <w:lang w:val="en-US" w:eastAsia="zh-CN"/>
        </w:rPr>
        <w:t>118.4</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2021年拟购置固定资产</w:t>
      </w:r>
      <w:r>
        <w:rPr>
          <w:rFonts w:hint="eastAsia" w:ascii="Times New Roman" w:hAnsi="Times New Roman"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rPr>
        <w:t>台，费用</w:t>
      </w:r>
      <w:r>
        <w:rPr>
          <w:rFonts w:hint="eastAsia" w:ascii="Times New Roman" w:hAnsi="Times New Roman" w:eastAsia="方正仿宋_GBK" w:cs="Times New Roman"/>
          <w:b w:val="0"/>
          <w:color w:val="000000"/>
          <w:sz w:val="28"/>
          <w:lang w:val="en-US" w:eastAsia="zh-CN"/>
        </w:rPr>
        <w:t>10万</w:t>
      </w:r>
      <w:r>
        <w:rPr>
          <w:rFonts w:hint="eastAsia" w:ascii="Times New Roman" w:hAnsi="Times New Roman" w:eastAsia="方正仿宋_GBK" w:cs="Times New Roman"/>
          <w:b w:val="0"/>
          <w:color w:val="000000"/>
          <w:sz w:val="28"/>
        </w:rPr>
        <w:t>元。</w:t>
      </w:r>
      <w:r>
        <w:rPr>
          <w:rFonts w:hint="eastAsia" w:ascii="Times New Roman" w:hAnsi="Times New Roman" w:eastAsia="方正仿宋_GBK" w:cs="Times New Roman"/>
          <w:b w:val="0"/>
          <w:color w:val="000000"/>
          <w:sz w:val="28"/>
          <w:lang w:val="en-US" w:eastAsia="zh-CN"/>
        </w:rPr>
        <w:t>均为20万以下设备。</w:t>
      </w:r>
      <w:r>
        <w:rPr>
          <w:rFonts w:ascii="Times New Roman" w:hAnsi="Times New Roman" w:eastAsia="方正仿宋_GBK" w:cs="Times New Roman"/>
          <w:b w:val="0"/>
          <w:color w:val="000000"/>
          <w:sz w:val="28"/>
        </w:rPr>
        <w:t>已按要求列入政府采购预算，详见政府采购预算表。</w:t>
      </w:r>
      <w:r>
        <w:rPr>
          <w:rFonts w:hint="eastAsia" w:ascii="Times New Roman" w:hAnsi="Times New Roman" w:eastAsia="方正仿宋_GBK" w:cs="Times New Roman"/>
          <w:b w:val="0"/>
          <w:color w:val="000000"/>
          <w:sz w:val="28"/>
          <w:lang w:val="en-US" w:eastAsia="zh-CN"/>
        </w:rPr>
        <w:t>均为20万元以下设备</w:t>
      </w:r>
      <w:r>
        <w:rPr>
          <w:rFonts w:hint="eastAsia" w:eastAsia="方正仿宋_GBK" w:cs="Times New Roman"/>
          <w:b w:val="0"/>
          <w:color w:val="000000"/>
          <w:sz w:val="28"/>
          <w:lang w:val="en-US" w:eastAsia="zh-CN"/>
        </w:rPr>
        <w:t>。</w:t>
      </w:r>
    </w:p>
    <w:p>
      <w:pPr>
        <w:spacing w:before="0" w:after="0" w:line="240" w:lineRule="auto"/>
        <w:ind w:firstLine="0"/>
        <w:jc w:val="center"/>
        <w:outlineLvl w:val="9"/>
        <w:rPr>
          <w:rFonts w:ascii="Times New Roman" w:hAnsi="Times New Roman" w:eastAsia="方正仿宋_GBK" w:cs="Times New Roman"/>
          <w:b w:val="0"/>
          <w:color w:val="000000"/>
          <w:sz w:val="28"/>
        </w:rP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0" w:type="auto"/>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0" w:type="auto"/>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100.76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0"/>
      <w:bookmarkStart w:id="4" w:name="_Toc_4_4_0000000021"/>
      <w:r>
        <w:rPr>
          <w:rFonts w:ascii="方正小标宋_GBK" w:hAnsi="方正小标宋_GBK" w:eastAsia="方正小标宋_GBK" w:cs="方正小标宋_GBK"/>
          <w:b w:val="0"/>
          <w:color w:val="000000"/>
          <w:sz w:val="44"/>
        </w:rPr>
        <w:t>二、曹妃甸区图书馆收支预算</w:t>
      </w:r>
      <w:bookmarkEnd w:id="3"/>
    </w:p>
    <w:tbl>
      <w:tblPr>
        <w:tblStyle w:val="7"/>
        <w:tblW w:w="146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8"/>
        <w:gridCol w:w="3375"/>
        <w:gridCol w:w="1560"/>
        <w:gridCol w:w="4215"/>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1469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5683" w:type="dxa"/>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421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479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4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3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007"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48"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2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9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3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9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156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非财政拨款结转结余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258.81</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bl>
    <w:p/>
    <w:p/>
    <w:p/>
    <w:p/>
    <w:p/>
    <w:p/>
    <w:p/>
    <w:p/>
    <w:p/>
    <w:p/>
    <w:p/>
    <w:p/>
    <w:p/>
    <w:tbl>
      <w:tblPr>
        <w:tblStyle w:val="7"/>
        <w:tblW w:w="15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25"/>
        <w:gridCol w:w="2055"/>
        <w:gridCol w:w="1380"/>
        <w:gridCol w:w="1575"/>
        <w:gridCol w:w="1275"/>
        <w:gridCol w:w="840"/>
        <w:gridCol w:w="750"/>
        <w:gridCol w:w="930"/>
        <w:gridCol w:w="1140"/>
        <w:gridCol w:w="1500"/>
        <w:gridCol w:w="67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5073"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65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rPr>
            </w:pPr>
            <w:r>
              <w:rPr>
                <w:rFonts w:hint="eastAsia" w:ascii="宋体" w:hAnsi="宋体"/>
                <w:color w:val="000000"/>
                <w:sz w:val="22"/>
                <w:szCs w:val="24"/>
              </w:rPr>
              <w:t>207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rPr>
            </w:pPr>
            <w:r>
              <w:rPr>
                <w:rFonts w:hint="eastAsia" w:ascii="宋体" w:hAnsi="宋体"/>
                <w:color w:val="000000"/>
                <w:sz w:val="22"/>
                <w:szCs w:val="24"/>
              </w:rPr>
              <w:t>文化旅游体育与传媒支出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20701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文化和旅游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2070104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图书馆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20805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2080505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机关事业单位基本养老保险缴费支出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2080506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机关事业单位职业年金缴费支出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行政事业单位医疗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2101102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2101103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公务员医疗补助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住房改革支出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2210201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住房公积金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tbl>
      <w:tblPr>
        <w:tblStyle w:val="7"/>
        <w:tblW w:w="1422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049"/>
        <w:gridCol w:w="2370"/>
        <w:gridCol w:w="1035"/>
        <w:gridCol w:w="1905"/>
        <w:gridCol w:w="1455"/>
        <w:gridCol w:w="1395"/>
        <w:gridCol w:w="1350"/>
        <w:gridCol w:w="136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42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40" w:firstLineChars="22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258.81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258.81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136.51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2070104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图书馆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机关事业单位职业年金缴费支出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bl>
    <w:p>
      <w:pPr>
        <w:sectPr>
          <w:pgSz w:w="16840" w:h="11900" w:orient="landscape"/>
          <w:pgMar w:top="1361" w:right="1020" w:bottom="1134" w:left="1020" w:header="720" w:footer="720" w:gutter="0"/>
          <w:cols w:space="720" w:num="1"/>
        </w:sectPr>
      </w:pPr>
    </w:p>
    <w:tbl>
      <w:tblPr>
        <w:tblStyle w:val="7"/>
        <w:tblW w:w="128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6"/>
        <w:gridCol w:w="3637"/>
        <w:gridCol w:w="1036"/>
        <w:gridCol w:w="4418"/>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2839"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5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0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bl>
    <w:p>
      <w:pPr>
        <w:sectPr>
          <w:pgSz w:w="16840" w:h="11900" w:orient="landscape"/>
          <w:pgMar w:top="1361" w:right="1020" w:bottom="1134" w:left="1020" w:header="720" w:footer="720" w:gutter="0"/>
          <w:cols w:space="720" w:num="1"/>
        </w:sectPr>
      </w:pPr>
    </w:p>
    <w:tbl>
      <w:tblPr>
        <w:tblStyle w:val="7"/>
        <w:tblW w:w="143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1"/>
        <w:gridCol w:w="1254"/>
        <w:gridCol w:w="4274"/>
        <w:gridCol w:w="1002"/>
        <w:gridCol w:w="1002"/>
        <w:gridCol w:w="1254"/>
        <w:gridCol w:w="23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4308"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gridSpan w:val="6"/>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208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8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258.81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147.71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136.51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bl>
    <w:p>
      <w:pPr>
        <w:sectPr>
          <w:pgSz w:w="16840" w:h="11900" w:orient="landscape"/>
          <w:pgMar w:top="1361" w:right="1020" w:bottom="1134" w:left="1020" w:header="720" w:footer="720" w:gutter="0"/>
          <w:cols w:space="720" w:num="1"/>
        </w:sectPr>
      </w:pPr>
    </w:p>
    <w:tbl>
      <w:tblPr>
        <w:tblStyle w:val="7"/>
        <w:tblW w:w="124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4"/>
        <w:gridCol w:w="1443"/>
        <w:gridCol w:w="4340"/>
        <w:gridCol w:w="1154"/>
        <w:gridCol w:w="2312"/>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2426"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0" w:type="auto"/>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132.86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132.86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39.31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39.31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3.04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3.04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6.70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0.35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1.00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147.71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136.51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r>
    </w:tbl>
    <w:p>
      <w:pPr>
        <w:sectPr>
          <w:pgSz w:w="16840" w:h="11900" w:orient="landscape"/>
          <w:pgMar w:top="1361" w:right="1020" w:bottom="1134" w:left="1020" w:header="720" w:footer="720" w:gutter="0"/>
          <w:cols w:space="720" w:num="1"/>
        </w:sectPr>
      </w:pPr>
    </w:p>
    <w:tbl>
      <w:tblPr>
        <w:tblStyle w:val="7"/>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3"/>
        <w:gridCol w:w="1776"/>
        <w:gridCol w:w="1776"/>
        <w:gridCol w:w="1063"/>
        <w:gridCol w:w="284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jc w:val="center"/>
        </w:trPr>
        <w:tc>
          <w:tcPr>
            <w:tcW w:w="11367"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0" w:type="auto"/>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237" w:tblpY="2447"/>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0"/>
        <w:gridCol w:w="2306"/>
        <w:gridCol w:w="2306"/>
        <w:gridCol w:w="1380"/>
        <w:gridCol w:w="3694"/>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1476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部门预算国有资本经营预算财政拨款支出表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72" w:type="dxa"/>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12"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before="0" w:after="0" w:line="240" w:lineRule="auto"/>
        <w:ind w:firstLine="1680" w:firstLineChars="8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tbl>
      <w:tblPr>
        <w:tblStyle w:val="7"/>
        <w:tblpPr w:leftFromText="180" w:rightFromText="180" w:vertAnchor="text" w:horzAnchor="page" w:tblpX="1027" w:tblpY="-7"/>
        <w:tblOverlap w:val="never"/>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1170"/>
        <w:gridCol w:w="1874"/>
        <w:gridCol w:w="2109"/>
        <w:gridCol w:w="1874"/>
        <w:gridCol w:w="1271"/>
        <w:gridCol w:w="2036"/>
        <w:gridCol w:w="187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1478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34" w:type="dxa"/>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187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1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“三公”经费合计</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181"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7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9"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72"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357003</w:t>
            </w: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曹妃甸区图书馆</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曹妃甸区图书馆202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预算信息公开情况说明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eastAsia="zh-CN"/>
        </w:rPr>
        <w:t>年</w:t>
      </w:r>
      <w:r>
        <w:rPr>
          <w:rFonts w:ascii="Times New Roman" w:hAnsi="Times New Roman" w:eastAsia="方正仿宋_GBK" w:cs="Times New Roman"/>
          <w:sz w:val="32"/>
          <w:szCs w:val="32"/>
        </w:rPr>
        <w:t>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rPr>
          <w:rFonts w:ascii="仿宋_GB2312" w:hAnsi="仿宋_GB2312" w:eastAsia="仿宋_GB2312" w:cs="仿宋_GB2312"/>
          <w:sz w:val="32"/>
          <w:szCs w:val="32"/>
        </w:rPr>
      </w:pPr>
      <w:r>
        <w:rPr>
          <w:rFonts w:hint="eastAsia" w:ascii="Times New Roman" w:hAnsi="Times New Roman" w:eastAsia="方正仿宋_GBK" w:cs="Times New Roman"/>
          <w:b/>
          <w:sz w:val="32"/>
          <w:szCs w:val="32"/>
        </w:rPr>
        <w:t xml:space="preserve">    部门</w:t>
      </w:r>
      <w:r>
        <w:rPr>
          <w:rFonts w:ascii="Times New Roman" w:hAnsi="Times New Roman" w:eastAsia="方正仿宋_GBK" w:cs="Times New Roman"/>
          <w:b/>
          <w:sz w:val="32"/>
          <w:szCs w:val="32"/>
        </w:rPr>
        <w:t>职责：</w:t>
      </w:r>
    </w:p>
    <w:p>
      <w:pPr>
        <w:autoSpaceDE w:val="0"/>
        <w:autoSpaceDN w:val="0"/>
        <w:adjustRightInd w:val="0"/>
        <w:ind w:firstLine="640" w:firstLineChars="200"/>
        <w:rPr>
          <w:rFonts w:hint="eastAsia" w:ascii="宋体" w:hAnsi="Times New Roman" w:cs="宋体"/>
          <w:kern w:val="0"/>
          <w:sz w:val="32"/>
          <w:szCs w:val="32"/>
          <w:lang w:val="zh-CN" w:eastAsia="zh-CN"/>
        </w:rPr>
      </w:pPr>
      <w:r>
        <w:rPr>
          <w:rFonts w:hint="eastAsia" w:ascii="宋体" w:hAnsi="Times New Roman" w:cs="宋体"/>
          <w:kern w:val="0"/>
          <w:sz w:val="32"/>
          <w:szCs w:val="32"/>
          <w:lang w:val="zh-CN"/>
        </w:rPr>
        <w:t>图书馆是政府为保障公民基本文化权益设立的公益性文化事业机构，是国家向公民提供各类文化服务的公共文化设施。</w:t>
      </w:r>
    </w:p>
    <w:p>
      <w:pPr>
        <w:autoSpaceDE w:val="0"/>
        <w:autoSpaceDN w:val="0"/>
        <w:adjustRightInd w:val="0"/>
        <w:rPr>
          <w:rFonts w:hint="eastAsia" w:ascii="宋体" w:hAnsi="Times New Roman" w:cs="宋体"/>
          <w:kern w:val="0"/>
          <w:sz w:val="32"/>
          <w:szCs w:val="32"/>
          <w:lang w:val="zh-CN"/>
        </w:rPr>
      </w:pPr>
      <w:r>
        <w:rPr>
          <w:rFonts w:hint="eastAsia" w:ascii="宋体" w:hAnsi="Times New Roman" w:cs="宋体"/>
          <w:kern w:val="0"/>
          <w:sz w:val="32"/>
          <w:szCs w:val="32"/>
          <w:lang w:val="zh-CN"/>
        </w:rPr>
        <w:t xml:space="preserve"> </w:t>
      </w:r>
      <w:r>
        <w:rPr>
          <w:rFonts w:hint="eastAsia" w:ascii="宋体" w:hAnsi="Times New Roman" w:cs="宋体"/>
          <w:kern w:val="0"/>
          <w:sz w:val="32"/>
          <w:szCs w:val="32"/>
          <w:lang w:val="en-US" w:eastAsia="zh-CN"/>
        </w:rPr>
        <w:t xml:space="preserve">   </w:t>
      </w:r>
      <w:r>
        <w:rPr>
          <w:rFonts w:hint="eastAsia" w:ascii="宋体" w:hAnsi="Times New Roman" w:cs="宋体"/>
          <w:kern w:val="0"/>
          <w:sz w:val="32"/>
          <w:szCs w:val="32"/>
          <w:lang w:val="zh-CN"/>
        </w:rPr>
        <w:t>（一）宣传党的路线、方针、政策，坚持“普惠均等”和“以人为本”的服务理念，以“服务第一，读者至上”为宗旨,利用本馆设施设备和文献资源为读者提供便捷的书刊借阅、参考咨询、展览讲座和数字文化等服务，保障公民平等享受公共图书馆基本服务。</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（二）根据全区文化事业发展的需求，组织制定图书馆文献信息服务工作的发展规划，做好文献经费预算和管理，有计划、有重点地组织收集和开发各类文献信息资料，逐步形成具有特色的收藏体系。</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（四）负责为区域内人民群众提供各类文献资料的外借、阅览服务；教育读者爱护文献资料；努力改善文献的阅读环境，提高文献利用率；积极开发文献信息资源，开展多种形式的参考咨询和信息服务工作。</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（五）统筹、协调全区文献资源建设。负责文献资源的对外服务和交流，加强信息网建设，积极开展馆际协作，实现资源共享。</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（六）重视由传统图书馆向现代图书馆的过渡。广泛应用计算机技术和网络技术，提高现代管理手段，加强网络信息资源的开发和利用，加快数字图书馆的建设，不断提高图书馆服务水平。</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（七）加强图书馆队伍建设，有计划地开展多种形式的人员培训、教育工作，建设一支思想好、业务水平高的图书馆专业人员队伍。</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（八）积极开展学术研究，加强图书馆学、信息学和数字图书馆建设的研究，加快图书馆改革与发展。</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（九）加强对外交流活动，积极参与全国公共图书馆、省市图书馆学会的协作工作，开展各方面的协作、协调活动。</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（十）教育读者爱护书刊资料，制定并贯彻执行读者违章、污损和偷窃书刊资料的赔偿、罚款、处分等制度。</w:t>
      </w:r>
    </w:p>
    <w:p>
      <w:pPr>
        <w:autoSpaceDE w:val="0"/>
        <w:autoSpaceDN w:val="0"/>
        <w:adjustRightInd w:val="0"/>
        <w:ind w:firstLine="640" w:firstLineChars="200"/>
        <w:rPr>
          <w:rFonts w:hint="eastAsia" w:ascii="宋体" w:hAnsi="Times New Roman" w:cs="宋体"/>
          <w:kern w:val="0"/>
          <w:sz w:val="32"/>
          <w:szCs w:val="32"/>
          <w:lang w:val="zh-CN"/>
        </w:rPr>
      </w:pPr>
    </w:p>
    <w:p>
      <w:pPr>
        <w:autoSpaceDE w:val="0"/>
        <w:autoSpaceDN w:val="0"/>
        <w:adjustRightInd w:val="0"/>
        <w:jc w:val="left"/>
        <w:rPr>
          <w:rFonts w:hint="eastAsia" w:ascii="宋体" w:cs="宋体"/>
          <w:b/>
          <w:bCs/>
          <w:kern w:val="0"/>
          <w:sz w:val="32"/>
          <w:szCs w:val="32"/>
          <w:lang w:val="zh-CN"/>
        </w:rPr>
      </w:pPr>
      <w:r>
        <w:rPr>
          <w:rFonts w:hint="eastAsia" w:ascii="宋体" w:cs="宋体"/>
          <w:b/>
          <w:bCs/>
          <w:kern w:val="0"/>
          <w:sz w:val="32"/>
          <w:szCs w:val="32"/>
          <w:lang w:val="zh-CN"/>
        </w:rPr>
        <w:t>机构设置：</w:t>
      </w:r>
    </w:p>
    <w:tbl>
      <w:tblPr>
        <w:tblStyle w:val="7"/>
        <w:tblpPr w:leftFromText="180" w:rightFromText="180" w:vertAnchor="text" w:horzAnchor="page" w:tblpX="945" w:tblpY="50"/>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2619"/>
        <w:gridCol w:w="262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0"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619"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621"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620"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20" w:type="dxa"/>
            <w:noWrap w:val="0"/>
            <w:vAlign w:val="top"/>
          </w:tcPr>
          <w:p>
            <w:pPr>
              <w:jc w:val="center"/>
              <w:outlineLvl w:val="0"/>
              <w:rPr>
                <w:rFonts w:hint="eastAsia" w:ascii="宋体" w:hAnsi="宋体" w:eastAsia="宋体" w:cs="宋体"/>
                <w:sz w:val="21"/>
                <w:szCs w:val="21"/>
              </w:rPr>
            </w:pPr>
            <w:r>
              <w:rPr>
                <w:rFonts w:hint="eastAsia" w:ascii="宋体" w:hAnsi="宋体" w:eastAsia="宋体" w:cs="宋体"/>
                <w:kern w:val="0"/>
                <w:sz w:val="21"/>
                <w:szCs w:val="21"/>
                <w:lang w:val="zh-CN"/>
              </w:rPr>
              <w:t>唐山市曹妃甸区图书馆</w:t>
            </w:r>
          </w:p>
        </w:tc>
        <w:tc>
          <w:tcPr>
            <w:tcW w:w="2619" w:type="dxa"/>
            <w:noWrap w:val="0"/>
            <w:vAlign w:val="top"/>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差额事业</w:t>
            </w:r>
          </w:p>
        </w:tc>
        <w:tc>
          <w:tcPr>
            <w:tcW w:w="2621" w:type="dxa"/>
            <w:noWrap w:val="0"/>
            <w:vAlign w:val="top"/>
          </w:tcPr>
          <w:p>
            <w:pPr>
              <w:jc w:val="center"/>
              <w:outlineLvl w:val="0"/>
              <w:rPr>
                <w:rFonts w:hint="eastAsia" w:ascii="宋体" w:hAnsi="宋体" w:eastAsia="宋体" w:cs="宋体"/>
                <w:sz w:val="21"/>
                <w:szCs w:val="21"/>
              </w:rPr>
            </w:pPr>
            <w:r>
              <w:rPr>
                <w:rFonts w:hint="eastAsia" w:ascii="宋体" w:hAnsi="宋体" w:eastAsia="宋体" w:cs="宋体"/>
                <w:sz w:val="21"/>
                <w:szCs w:val="21"/>
              </w:rPr>
              <w:t>副科级</w:t>
            </w:r>
          </w:p>
        </w:tc>
        <w:tc>
          <w:tcPr>
            <w:tcW w:w="2620" w:type="dxa"/>
            <w:noWrap w:val="0"/>
            <w:vAlign w:val="top"/>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财政性资金基本保证经费的事业单位</w:t>
            </w:r>
          </w:p>
        </w:tc>
      </w:tr>
    </w:tbl>
    <w:p>
      <w:pPr>
        <w:autoSpaceDE w:val="0"/>
        <w:autoSpaceDN w:val="0"/>
        <w:adjustRightInd w:val="0"/>
        <w:jc w:val="left"/>
        <w:rPr>
          <w:rFonts w:ascii="宋体" w:cs="宋体"/>
          <w:kern w:val="0"/>
          <w:sz w:val="32"/>
          <w:szCs w:val="32"/>
          <w:lang w:val="zh-CN"/>
        </w:rPr>
      </w:pP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 xml:space="preserve">    </w:t>
      </w:r>
      <w:r>
        <w:rPr>
          <w:rFonts w:hint="eastAsia" w:ascii="黑体" w:eastAsia="黑体" w:cs="黑体"/>
          <w:kern w:val="0"/>
          <w:sz w:val="32"/>
          <w:szCs w:val="32"/>
          <w:lang w:val="zh-CN"/>
        </w:rPr>
        <w:t>二、部门预算安排的总体情况</w:t>
      </w:r>
    </w:p>
    <w:p>
      <w:pPr>
        <w:autoSpaceDE w:val="0"/>
        <w:autoSpaceDN w:val="0"/>
        <w:adjustRightInd w:val="0"/>
        <w:ind w:firstLine="640"/>
        <w:rPr>
          <w:kern w:val="0"/>
          <w:sz w:val="32"/>
          <w:szCs w:val="32"/>
        </w:rPr>
      </w:pPr>
      <w:r>
        <w:rPr>
          <w:rFonts w:eastAsia="黑体"/>
          <w:kern w:val="0"/>
          <w:sz w:val="32"/>
          <w:szCs w:val="32"/>
        </w:rPr>
        <w:t>1</w:t>
      </w:r>
      <w:r>
        <w:rPr>
          <w:rFonts w:hint="eastAsia" w:ascii="宋体" w:cs="宋体"/>
          <w:kern w:val="0"/>
          <w:sz w:val="32"/>
          <w:szCs w:val="32"/>
          <w:lang w:val="zh-CN"/>
        </w:rPr>
        <w:t>、收入说明</w:t>
      </w:r>
      <w:r>
        <w:rPr>
          <w:kern w:val="0"/>
          <w:sz w:val="32"/>
          <w:szCs w:val="32"/>
        </w:rPr>
        <w:t xml:space="preserve"> </w:t>
      </w:r>
    </w:p>
    <w:p>
      <w:pPr>
        <w:autoSpaceDE w:val="0"/>
        <w:autoSpaceDN w:val="0"/>
        <w:adjustRightInd w:val="0"/>
        <w:ind w:firstLine="640"/>
        <w:rPr>
          <w:rFonts w:ascii="宋体" w:cs="宋体"/>
          <w:kern w:val="0"/>
          <w:sz w:val="32"/>
          <w:szCs w:val="32"/>
          <w:lang w:val="zh-CN"/>
        </w:rPr>
      </w:pPr>
      <w:r>
        <w:rPr>
          <w:rFonts w:hint="eastAsia" w:ascii="宋体" w:cs="宋体"/>
          <w:kern w:val="0"/>
          <w:sz w:val="32"/>
          <w:szCs w:val="32"/>
          <w:lang w:val="zh-CN"/>
        </w:rPr>
        <w:t>本单位当年全部收入，</w:t>
      </w:r>
      <w:r>
        <w:rPr>
          <w:rFonts w:hint="eastAsia" w:ascii="宋体" w:cs="宋体"/>
          <w:kern w:val="0"/>
          <w:sz w:val="32"/>
          <w:szCs w:val="32"/>
          <w:lang w:val="en-US" w:eastAsia="zh-CN"/>
        </w:rPr>
        <w:t>2021</w:t>
      </w:r>
      <w:r>
        <w:rPr>
          <w:rFonts w:hint="eastAsia" w:ascii="宋体" w:cs="宋体"/>
          <w:kern w:val="0"/>
          <w:sz w:val="32"/>
          <w:szCs w:val="32"/>
          <w:lang w:val="zh-CN"/>
        </w:rPr>
        <w:t>年预算收入</w:t>
      </w:r>
      <w:r>
        <w:rPr>
          <w:rFonts w:hint="eastAsia" w:ascii="宋体" w:cs="宋体"/>
          <w:kern w:val="0"/>
          <w:sz w:val="32"/>
          <w:szCs w:val="32"/>
          <w:lang w:val="en-US" w:eastAsia="zh-CN"/>
        </w:rPr>
        <w:t>258.81</w:t>
      </w:r>
      <w:r>
        <w:rPr>
          <w:rFonts w:hint="eastAsia" w:ascii="宋体" w:cs="宋体"/>
          <w:kern w:val="0"/>
          <w:sz w:val="32"/>
          <w:szCs w:val="32"/>
          <w:lang w:val="zh-CN"/>
        </w:rPr>
        <w:t>万元，</w:t>
      </w:r>
      <w:r>
        <w:rPr>
          <w:rFonts w:hint="eastAsia" w:ascii="宋体" w:hAnsi="宋体" w:cs="宋体"/>
          <w:sz w:val="32"/>
          <w:szCs w:val="32"/>
        </w:rPr>
        <w:t>全部为一般公共预算收入</w:t>
      </w:r>
      <w:r>
        <w:rPr>
          <w:rFonts w:hint="eastAsia" w:ascii="宋体" w:cs="宋体"/>
          <w:kern w:val="0"/>
          <w:sz w:val="32"/>
          <w:szCs w:val="32"/>
          <w:lang w:val="zh-CN"/>
        </w:rPr>
        <w:t>。</w:t>
      </w:r>
    </w:p>
    <w:p>
      <w:pPr>
        <w:autoSpaceDE w:val="0"/>
        <w:autoSpaceDN w:val="0"/>
        <w:adjustRightInd w:val="0"/>
        <w:ind w:firstLine="640"/>
        <w:rPr>
          <w:rFonts w:ascii="宋体" w:cs="宋体"/>
          <w:kern w:val="0"/>
          <w:sz w:val="32"/>
          <w:szCs w:val="32"/>
          <w:lang w:val="zh-CN"/>
        </w:rPr>
      </w:pPr>
      <w:r>
        <w:rPr>
          <w:rFonts w:hint="eastAsia" w:ascii="宋体" w:cs="宋体"/>
          <w:b/>
          <w:bCs/>
          <w:kern w:val="0"/>
          <w:sz w:val="32"/>
          <w:szCs w:val="32"/>
        </w:rPr>
        <w:t>2</w:t>
      </w:r>
      <w:r>
        <w:rPr>
          <w:rFonts w:hint="eastAsia" w:ascii="宋体" w:cs="宋体"/>
          <w:kern w:val="0"/>
          <w:sz w:val="32"/>
          <w:szCs w:val="32"/>
        </w:rPr>
        <w:t>、</w:t>
      </w:r>
      <w:r>
        <w:rPr>
          <w:rFonts w:hint="eastAsia" w:ascii="宋体" w:cs="宋体"/>
          <w:kern w:val="0"/>
          <w:sz w:val="32"/>
          <w:szCs w:val="32"/>
          <w:lang w:val="zh-CN"/>
        </w:rPr>
        <w:t>支出说明</w:t>
      </w:r>
    </w:p>
    <w:p>
      <w:pPr>
        <w:autoSpaceDE w:val="0"/>
        <w:autoSpaceDN w:val="0"/>
        <w:adjustRightInd w:val="0"/>
        <w:rPr>
          <w:rFonts w:ascii="宋体" w:cs="宋体"/>
          <w:kern w:val="0"/>
          <w:sz w:val="32"/>
          <w:szCs w:val="32"/>
          <w:lang w:val="zh-CN"/>
        </w:rPr>
      </w:pPr>
      <w:r>
        <w:rPr>
          <w:rFonts w:ascii="宋体" w:cs="宋体"/>
          <w:kern w:val="0"/>
          <w:sz w:val="32"/>
          <w:szCs w:val="32"/>
          <w:lang w:val="zh-CN"/>
        </w:rPr>
        <w:t xml:space="preserve">     </w:t>
      </w:r>
      <w:r>
        <w:rPr>
          <w:rFonts w:hint="eastAsia" w:ascii="宋体" w:cs="宋体"/>
          <w:kern w:val="0"/>
          <w:sz w:val="32"/>
          <w:szCs w:val="32"/>
          <w:lang w:val="zh-CN"/>
        </w:rPr>
        <w:t>收支预算总表支出栏、基本支出表、项目支出表按经济分类和支出功能分类科目编制，反映唐山市曹妃甸区</w:t>
      </w:r>
      <w:r>
        <w:rPr>
          <w:rFonts w:hint="eastAsia" w:ascii="宋体" w:cs="宋体"/>
          <w:kern w:val="0"/>
          <w:sz w:val="32"/>
          <w:szCs w:val="32"/>
          <w:lang w:val="en-US" w:eastAsia="zh-CN"/>
        </w:rPr>
        <w:t>图书馆</w:t>
      </w:r>
      <w:r>
        <w:rPr>
          <w:rFonts w:hint="eastAsia" w:ascii="宋体" w:cs="宋体"/>
          <w:kern w:val="0"/>
          <w:sz w:val="32"/>
          <w:szCs w:val="32"/>
          <w:lang w:val="zh-CN"/>
        </w:rPr>
        <w:t>年度部门预算中支出预算的总体情况。</w:t>
      </w:r>
      <w:r>
        <w:rPr>
          <w:rFonts w:hint="eastAsia" w:ascii="宋体" w:cs="宋体"/>
          <w:kern w:val="0"/>
          <w:sz w:val="32"/>
          <w:szCs w:val="32"/>
          <w:lang w:val="en-US" w:eastAsia="zh-CN"/>
        </w:rPr>
        <w:t>2021</w:t>
      </w:r>
      <w:r>
        <w:rPr>
          <w:rFonts w:hint="eastAsia" w:ascii="宋体" w:cs="宋体"/>
          <w:kern w:val="0"/>
          <w:sz w:val="32"/>
          <w:szCs w:val="32"/>
          <w:lang w:val="zh-CN"/>
        </w:rPr>
        <w:t>年部门支出预算为</w:t>
      </w:r>
      <w:r>
        <w:rPr>
          <w:rFonts w:hint="eastAsia" w:ascii="宋体" w:cs="宋体"/>
          <w:kern w:val="0"/>
          <w:sz w:val="32"/>
          <w:szCs w:val="32"/>
          <w:lang w:val="en-US" w:eastAsia="zh-CN"/>
        </w:rPr>
        <w:t>258.81</w:t>
      </w:r>
      <w:r>
        <w:rPr>
          <w:rFonts w:hint="eastAsia" w:ascii="宋体" w:cs="宋体"/>
          <w:kern w:val="0"/>
          <w:sz w:val="32"/>
          <w:szCs w:val="32"/>
          <w:lang w:val="zh-CN"/>
        </w:rPr>
        <w:t>万元，其中基本支出</w:t>
      </w:r>
      <w:r>
        <w:rPr>
          <w:rFonts w:hint="eastAsia" w:ascii="宋体" w:cs="宋体"/>
          <w:kern w:val="0"/>
          <w:sz w:val="32"/>
          <w:szCs w:val="32"/>
          <w:lang w:val="en-US" w:eastAsia="zh-CN"/>
        </w:rPr>
        <w:t>147.71</w:t>
      </w:r>
      <w:r>
        <w:rPr>
          <w:rFonts w:hint="eastAsia" w:ascii="宋体" w:cs="宋体"/>
          <w:kern w:val="0"/>
          <w:sz w:val="32"/>
          <w:szCs w:val="32"/>
          <w:lang w:val="zh-CN"/>
        </w:rPr>
        <w:t>万元，包括人员经费</w:t>
      </w:r>
      <w:r>
        <w:rPr>
          <w:rFonts w:hint="eastAsia" w:ascii="宋体" w:cs="宋体"/>
          <w:kern w:val="0"/>
          <w:sz w:val="32"/>
          <w:szCs w:val="32"/>
          <w:lang w:val="en-US" w:eastAsia="zh-CN"/>
        </w:rPr>
        <w:t>136.51</w:t>
      </w:r>
      <w:r>
        <w:rPr>
          <w:rFonts w:hint="eastAsia" w:ascii="宋体" w:cs="宋体"/>
          <w:kern w:val="0"/>
          <w:sz w:val="32"/>
          <w:szCs w:val="32"/>
          <w:lang w:val="zh-CN"/>
        </w:rPr>
        <w:t>万元和公用经费</w:t>
      </w:r>
      <w:r>
        <w:rPr>
          <w:rFonts w:hint="eastAsia" w:ascii="宋体" w:cs="宋体"/>
          <w:kern w:val="0"/>
          <w:sz w:val="32"/>
          <w:szCs w:val="32"/>
          <w:lang w:val="en-US" w:eastAsia="zh-CN"/>
        </w:rPr>
        <w:t>11.20</w:t>
      </w:r>
      <w:r>
        <w:rPr>
          <w:rFonts w:hint="eastAsia" w:ascii="宋体" w:cs="宋体"/>
          <w:kern w:val="0"/>
          <w:sz w:val="32"/>
          <w:szCs w:val="32"/>
          <w:lang w:val="zh-CN"/>
        </w:rPr>
        <w:t>万元；项目支出</w:t>
      </w:r>
      <w:r>
        <w:rPr>
          <w:rFonts w:hint="eastAsia" w:ascii="宋体" w:cs="宋体"/>
          <w:kern w:val="0"/>
          <w:sz w:val="32"/>
          <w:szCs w:val="32"/>
          <w:lang w:val="en-US" w:eastAsia="zh-CN"/>
        </w:rPr>
        <w:t>111.10</w:t>
      </w:r>
      <w:r>
        <w:rPr>
          <w:rFonts w:hint="eastAsia" w:ascii="宋体" w:cs="宋体"/>
          <w:kern w:val="0"/>
          <w:sz w:val="32"/>
          <w:szCs w:val="32"/>
          <w:lang w:val="zh-CN"/>
        </w:rPr>
        <w:t>万元，</w:t>
      </w:r>
      <w:r>
        <w:rPr>
          <w:rFonts w:hint="eastAsia" w:ascii="宋体" w:cs="宋体"/>
          <w:kern w:val="0"/>
          <w:sz w:val="32"/>
          <w:szCs w:val="32"/>
        </w:rPr>
        <w:t>全部为本级支出</w:t>
      </w:r>
      <w:r>
        <w:rPr>
          <w:rFonts w:hint="eastAsia" w:ascii="宋体" w:cs="宋体"/>
          <w:kern w:val="0"/>
          <w:sz w:val="32"/>
          <w:szCs w:val="32"/>
          <w:lang w:val="zh-CN"/>
        </w:rPr>
        <w:t>。</w:t>
      </w:r>
    </w:p>
    <w:p>
      <w:pPr>
        <w:autoSpaceDE w:val="0"/>
        <w:autoSpaceDN w:val="0"/>
        <w:adjustRightInd w:val="0"/>
        <w:ind w:firstLine="640"/>
        <w:rPr>
          <w:kern w:val="0"/>
          <w:sz w:val="32"/>
          <w:szCs w:val="32"/>
        </w:rPr>
      </w:pPr>
      <w:r>
        <w:rPr>
          <w:rFonts w:hint="eastAsia" w:ascii="宋体" w:cs="宋体"/>
          <w:b/>
          <w:bCs/>
          <w:kern w:val="0"/>
          <w:sz w:val="32"/>
          <w:szCs w:val="32"/>
        </w:rPr>
        <w:t>3</w:t>
      </w:r>
      <w:r>
        <w:rPr>
          <w:rFonts w:hint="eastAsia" w:ascii="宋体" w:cs="宋体"/>
          <w:kern w:val="0"/>
          <w:sz w:val="32"/>
          <w:szCs w:val="32"/>
        </w:rPr>
        <w:t>、</w:t>
      </w:r>
      <w:r>
        <w:rPr>
          <w:rFonts w:hint="eastAsia" w:ascii="宋体" w:cs="宋体"/>
          <w:kern w:val="0"/>
          <w:sz w:val="32"/>
          <w:szCs w:val="32"/>
          <w:lang w:val="zh-CN"/>
        </w:rPr>
        <w:t>比上年增减情况</w:t>
      </w:r>
    </w:p>
    <w:p>
      <w:pPr>
        <w:autoSpaceDE w:val="0"/>
        <w:autoSpaceDN w:val="0"/>
        <w:adjustRightInd w:val="0"/>
        <w:rPr>
          <w:rFonts w:ascii="??_GB2312" w:hAnsi="??_GB2312" w:cs="??_GB2312"/>
          <w:kern w:val="0"/>
          <w:sz w:val="32"/>
          <w:szCs w:val="32"/>
        </w:rPr>
      </w:pPr>
      <w:r>
        <w:rPr>
          <w:kern w:val="0"/>
          <w:sz w:val="32"/>
          <w:szCs w:val="32"/>
        </w:rPr>
        <w:t xml:space="preserve">   </w:t>
      </w:r>
      <w:r>
        <w:rPr>
          <w:rFonts w:hint="eastAsia" w:ascii="宋体" w:hAnsi="??_GB2312" w:cs="宋体"/>
          <w:kern w:val="0"/>
          <w:sz w:val="32"/>
          <w:szCs w:val="32"/>
          <w:lang w:val="en-US" w:eastAsia="zh-CN"/>
        </w:rPr>
        <w:t>2021</w:t>
      </w:r>
      <w:r>
        <w:rPr>
          <w:rFonts w:hint="eastAsia" w:ascii="宋体" w:hAnsi="??_GB2312" w:cs="宋体"/>
          <w:kern w:val="0"/>
          <w:sz w:val="32"/>
          <w:szCs w:val="32"/>
          <w:lang w:val="zh-CN" w:eastAsia="zh-CN"/>
        </w:rPr>
        <w:t>年部门预算与</w:t>
      </w:r>
      <w:r>
        <w:rPr>
          <w:rFonts w:hint="eastAsia" w:ascii="宋体" w:hAnsi="??_GB2312" w:cs="宋体"/>
          <w:kern w:val="0"/>
          <w:sz w:val="32"/>
          <w:szCs w:val="32"/>
          <w:lang w:val="en-US" w:eastAsia="zh-CN"/>
        </w:rPr>
        <w:t>2020</w:t>
      </w:r>
      <w:r>
        <w:rPr>
          <w:rFonts w:hint="eastAsia" w:ascii="宋体" w:hAnsi="??_GB2312" w:cs="宋体"/>
          <w:kern w:val="0"/>
          <w:sz w:val="32"/>
          <w:szCs w:val="32"/>
          <w:lang w:val="zh-CN" w:eastAsia="zh-CN"/>
        </w:rPr>
        <w:t>年</w:t>
      </w:r>
      <w:r>
        <w:rPr>
          <w:rFonts w:hint="eastAsia" w:ascii="宋体" w:hAnsi="??_GB2312" w:cs="宋体"/>
          <w:kern w:val="0"/>
          <w:sz w:val="32"/>
          <w:szCs w:val="32"/>
          <w:lang w:val="zh-CN"/>
        </w:rPr>
        <w:t>相比</w:t>
      </w:r>
      <w:r>
        <w:rPr>
          <w:rFonts w:hint="eastAsia" w:ascii="宋体" w:hAnsi="??_GB2312" w:cs="宋体"/>
          <w:kern w:val="0"/>
          <w:sz w:val="32"/>
          <w:szCs w:val="32"/>
          <w:lang w:val="en-US" w:eastAsia="zh-CN"/>
        </w:rPr>
        <w:t>增加</w:t>
      </w:r>
      <w:r>
        <w:rPr>
          <w:rFonts w:hint="eastAsia" w:ascii="宋体" w:hAnsi="??_GB2312" w:cs="宋体"/>
          <w:kern w:val="0"/>
          <w:sz w:val="32"/>
          <w:szCs w:val="32"/>
        </w:rPr>
        <w:t>了</w:t>
      </w:r>
      <w:r>
        <w:rPr>
          <w:rFonts w:hint="eastAsia" w:ascii="宋体" w:hAnsi="??_GB2312" w:cs="宋体"/>
          <w:kern w:val="0"/>
          <w:sz w:val="32"/>
          <w:szCs w:val="32"/>
          <w:lang w:val="en-US" w:eastAsia="zh-CN"/>
        </w:rPr>
        <w:t>29</w:t>
      </w:r>
      <w:r>
        <w:rPr>
          <w:rFonts w:hint="eastAsia" w:ascii="宋体" w:hAnsi="??_GB2312" w:cs="宋体"/>
          <w:kern w:val="0"/>
          <w:sz w:val="32"/>
          <w:szCs w:val="32"/>
        </w:rPr>
        <w:t>万元</w:t>
      </w:r>
      <w:r>
        <w:rPr>
          <w:rFonts w:hint="eastAsia" w:ascii="宋体" w:hAnsi="??_GB2312" w:cs="宋体"/>
          <w:kern w:val="0"/>
          <w:sz w:val="32"/>
          <w:szCs w:val="32"/>
          <w:lang w:val="zh-CN"/>
        </w:rPr>
        <w:t>，</w:t>
      </w:r>
      <w:r>
        <w:rPr>
          <w:rFonts w:hint="eastAsia" w:ascii="宋体" w:hAnsi="??_GB2312" w:cs="宋体"/>
          <w:kern w:val="0"/>
          <w:sz w:val="32"/>
          <w:szCs w:val="32"/>
        </w:rPr>
        <w:t>主要是</w:t>
      </w:r>
      <w:r>
        <w:rPr>
          <w:rFonts w:hint="eastAsia" w:ascii="宋体" w:hAnsi="??_GB2312" w:cs="宋体"/>
          <w:kern w:val="0"/>
          <w:sz w:val="32"/>
          <w:szCs w:val="32"/>
          <w:lang w:val="en-US" w:eastAsia="zh-CN"/>
        </w:rPr>
        <w:t>人员经费增加</w:t>
      </w:r>
      <w:r>
        <w:rPr>
          <w:rFonts w:hint="eastAsia" w:ascii="宋体" w:hAnsi="??_GB2312" w:cs="宋体"/>
          <w:kern w:val="0"/>
          <w:sz w:val="32"/>
          <w:szCs w:val="32"/>
          <w:lang w:eastAsia="zh-CN"/>
        </w:rPr>
        <w:t>，</w:t>
      </w:r>
      <w:r>
        <w:rPr>
          <w:rFonts w:hint="eastAsia" w:ascii="宋体" w:hAnsi="??_GB2312" w:cs="宋体"/>
          <w:kern w:val="0"/>
          <w:sz w:val="32"/>
          <w:szCs w:val="32"/>
          <w:lang w:val="en-US" w:eastAsia="zh-CN"/>
        </w:rPr>
        <w:t>与2020年相比项目支出减少了0.02万元</w:t>
      </w:r>
      <w:r>
        <w:rPr>
          <w:rFonts w:hint="eastAsia" w:ascii="宋体" w:hAnsi="宋体" w:cs="宋体"/>
          <w:sz w:val="32"/>
          <w:szCs w:val="32"/>
        </w:rPr>
        <w:t>；</w:t>
      </w:r>
      <w:r>
        <w:rPr>
          <w:rFonts w:hint="eastAsia" w:ascii="宋体" w:hAnsi="??_GB2312" w:cs="宋体"/>
          <w:kern w:val="0"/>
          <w:sz w:val="32"/>
          <w:szCs w:val="32"/>
          <w:lang w:val="zh-CN"/>
        </w:rPr>
        <w:t>基本支出</w:t>
      </w:r>
      <w:r>
        <w:rPr>
          <w:rFonts w:hint="eastAsia" w:ascii="宋体" w:hAnsi="??_GB2312" w:cs="宋体"/>
          <w:kern w:val="0"/>
          <w:sz w:val="32"/>
          <w:szCs w:val="32"/>
        </w:rPr>
        <w:t>中人员经费</w:t>
      </w:r>
      <w:r>
        <w:rPr>
          <w:rFonts w:hint="eastAsia" w:ascii="宋体" w:hAnsi="??_GB2312" w:cs="宋体"/>
          <w:kern w:val="0"/>
          <w:sz w:val="32"/>
          <w:szCs w:val="32"/>
          <w:lang w:val="en-US" w:eastAsia="zh-CN"/>
        </w:rPr>
        <w:t>增加了24.59</w:t>
      </w:r>
      <w:r>
        <w:rPr>
          <w:rFonts w:hint="eastAsia" w:ascii="宋体" w:hAnsi="??_GB2312" w:cs="宋体"/>
          <w:kern w:val="0"/>
          <w:sz w:val="32"/>
          <w:szCs w:val="32"/>
        </w:rPr>
        <w:t>万元，公用经费</w:t>
      </w:r>
      <w:r>
        <w:rPr>
          <w:rFonts w:hint="eastAsia" w:ascii="宋体" w:hAnsi="??_GB2312" w:cs="宋体"/>
          <w:kern w:val="0"/>
          <w:sz w:val="32"/>
          <w:szCs w:val="32"/>
          <w:lang w:val="en-US" w:eastAsia="zh-CN"/>
        </w:rPr>
        <w:t>增加了4.43</w:t>
      </w:r>
      <w:r>
        <w:rPr>
          <w:rFonts w:hint="eastAsia" w:ascii="宋体" w:hAnsi="??_GB2312" w:cs="宋体"/>
          <w:kern w:val="0"/>
          <w:sz w:val="32"/>
          <w:szCs w:val="32"/>
        </w:rPr>
        <w:t>万元，原因是</w:t>
      </w:r>
      <w:r>
        <w:rPr>
          <w:rFonts w:hint="eastAsia" w:ascii="宋体" w:hAnsi="??_GB2312" w:cs="宋体"/>
          <w:kern w:val="0"/>
          <w:sz w:val="32"/>
          <w:szCs w:val="32"/>
          <w:lang w:val="en-US" w:eastAsia="zh-CN"/>
        </w:rPr>
        <w:t>增加了工作人员</w:t>
      </w:r>
      <w:r>
        <w:rPr>
          <w:rFonts w:hint="eastAsia" w:ascii="宋体" w:hAnsi="??_GB2312" w:cs="宋体"/>
          <w:kern w:val="0"/>
          <w:sz w:val="32"/>
          <w:szCs w:val="32"/>
        </w:rPr>
        <w:t>。</w:t>
      </w:r>
    </w:p>
    <w:p>
      <w:pPr>
        <w:autoSpaceDE w:val="0"/>
        <w:autoSpaceDN w:val="0"/>
        <w:adjustRightInd w:val="0"/>
        <w:ind w:firstLine="640"/>
        <w:jc w:val="left"/>
        <w:rPr>
          <w:rFonts w:hint="eastAsia" w:ascii="黑体" w:hAnsi="??_GB2312" w:eastAsia="黑体" w:cs="黑体"/>
          <w:kern w:val="0"/>
          <w:sz w:val="32"/>
          <w:szCs w:val="32"/>
          <w:lang w:val="zh-CN"/>
        </w:rPr>
      </w:pPr>
    </w:p>
    <w:p>
      <w:pPr>
        <w:autoSpaceDE w:val="0"/>
        <w:autoSpaceDN w:val="0"/>
        <w:adjustRightInd w:val="0"/>
        <w:ind w:firstLine="640"/>
        <w:jc w:val="left"/>
        <w:rPr>
          <w:rFonts w:hint="eastAsia" w:ascii="黑体" w:hAnsi="??_GB2312" w:eastAsia="黑体" w:cs="黑体"/>
          <w:kern w:val="0"/>
          <w:sz w:val="32"/>
          <w:szCs w:val="32"/>
          <w:lang w:val="zh-CN"/>
        </w:rPr>
      </w:pPr>
    </w:p>
    <w:p>
      <w:pPr>
        <w:autoSpaceDE w:val="0"/>
        <w:autoSpaceDN w:val="0"/>
        <w:adjustRightInd w:val="0"/>
        <w:ind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pPr>
        <w:autoSpaceDE w:val="0"/>
        <w:autoSpaceDN w:val="0"/>
        <w:adjustRightInd w:val="0"/>
        <w:ind w:firstLine="640" w:firstLineChars="200"/>
        <w:rPr>
          <w:rFonts w:hint="default" w:ascii="宋体" w:hAnsi="??_GB2312" w:cs="宋体"/>
          <w:kern w:val="0"/>
          <w:sz w:val="32"/>
          <w:szCs w:val="32"/>
          <w:lang w:val="en-US" w:eastAsia="zh-CN"/>
        </w:rPr>
      </w:pPr>
      <w:r>
        <w:rPr>
          <w:rFonts w:hint="eastAsia" w:ascii="宋体" w:hAnsi="??_GB2312" w:cs="宋体"/>
          <w:kern w:val="0"/>
          <w:sz w:val="32"/>
          <w:szCs w:val="32"/>
          <w:lang w:val="en-US" w:eastAsia="zh-CN"/>
        </w:rPr>
        <w:t>机关运行经费共计安排0万元，主要用于保证机关正常运转的办公及印刷费、邮电费、差旅费、培训费、会议费、福利费、一般设备购置费、日常维修费、办公楼物业管理费、公务车运行维护费等支出。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cs="宋体"/>
          <w:sz w:val="32"/>
          <w:szCs w:val="32"/>
        </w:rPr>
        <w:t>，</w:t>
      </w:r>
      <w:r>
        <w:rPr>
          <w:rFonts w:hint="eastAsia" w:ascii="宋体" w:hAnsi="宋体" w:cs="宋体"/>
          <w:sz w:val="32"/>
          <w:szCs w:val="32"/>
          <w:lang w:val="en-US" w:eastAsia="zh-CN"/>
        </w:rPr>
        <w:t>财政拨款</w:t>
      </w:r>
      <w:r>
        <w:rPr>
          <w:rFonts w:hint="eastAsia" w:ascii="宋体" w:hAnsi="宋体" w:eastAsia="宋体" w:cs="宋体"/>
          <w:sz w:val="32"/>
          <w:szCs w:val="32"/>
        </w:rPr>
        <w:t>“三公”经费预算情况及增减变化原因：202</w:t>
      </w:r>
      <w:r>
        <w:rPr>
          <w:rFonts w:hint="eastAsia" w:ascii="宋体" w:hAnsi="宋体" w:cs="宋体"/>
          <w:sz w:val="32"/>
          <w:szCs w:val="32"/>
          <w:lang w:val="en-US" w:eastAsia="zh-CN"/>
        </w:rPr>
        <w:t>1</w:t>
      </w:r>
      <w:r>
        <w:rPr>
          <w:rFonts w:hint="eastAsia" w:ascii="宋体" w:hAnsi="宋体" w:eastAsia="宋体" w:cs="宋体"/>
          <w:sz w:val="32"/>
          <w:szCs w:val="32"/>
        </w:rPr>
        <w:t>年我部门财政拨款“三公”经费预算安排</w:t>
      </w:r>
      <w:r>
        <w:rPr>
          <w:rFonts w:hint="eastAsia" w:ascii="宋体" w:hAnsi="宋体" w:cs="宋体"/>
          <w:sz w:val="32"/>
          <w:szCs w:val="32"/>
          <w:lang w:val="en-US" w:eastAsia="zh-CN"/>
        </w:rPr>
        <w:t>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_GB2312" w:cs="宋体"/>
          <w:kern w:val="0"/>
          <w:sz w:val="32"/>
          <w:szCs w:val="32"/>
          <w:lang w:val="zh-CN"/>
        </w:rPr>
        <w:t>比20</w:t>
      </w:r>
      <w:r>
        <w:rPr>
          <w:rFonts w:hint="eastAsia" w:ascii="宋体" w:hAnsi="??_GB2312" w:cs="宋体"/>
          <w:kern w:val="0"/>
          <w:sz w:val="32"/>
          <w:szCs w:val="32"/>
          <w:lang w:val="en-US" w:eastAsia="zh-CN"/>
        </w:rPr>
        <w:t>20</w:t>
      </w:r>
      <w:r>
        <w:rPr>
          <w:rFonts w:hint="eastAsia" w:ascii="宋体" w:hAnsi="??_GB2312" w:cs="宋体"/>
          <w:kern w:val="0"/>
          <w:sz w:val="32"/>
          <w:szCs w:val="32"/>
          <w:lang w:val="zh-CN"/>
        </w:rPr>
        <w:t>年“三公经费”增加了</w:t>
      </w:r>
      <w:r>
        <w:rPr>
          <w:rFonts w:hint="eastAsia" w:ascii="宋体" w:hAnsi="??_GB2312" w:cs="宋体"/>
          <w:kern w:val="0"/>
          <w:sz w:val="32"/>
          <w:szCs w:val="32"/>
          <w:lang w:val="en-US" w:eastAsia="zh-CN"/>
        </w:rPr>
        <w:t>4</w:t>
      </w:r>
      <w:r>
        <w:rPr>
          <w:rFonts w:hint="eastAsia" w:ascii="宋体" w:hAnsi="??_GB2312" w:cs="宋体"/>
          <w:kern w:val="0"/>
          <w:sz w:val="32"/>
          <w:szCs w:val="32"/>
          <w:lang w:val="zh-CN"/>
        </w:rPr>
        <w:t>万元</w:t>
      </w:r>
      <w:r>
        <w:rPr>
          <w:rFonts w:hint="eastAsia" w:ascii="宋体" w:hAnsi="宋体" w:eastAsia="宋体" w:cs="宋体"/>
          <w:sz w:val="32"/>
          <w:szCs w:val="32"/>
        </w:rPr>
        <w:t>，具体安排情况为：</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一</w:t>
      </w:r>
      <w:r>
        <w:rPr>
          <w:rFonts w:hint="eastAsia" w:ascii="宋体" w:hAnsi="宋体" w:cs="宋体"/>
          <w:sz w:val="32"/>
          <w:szCs w:val="32"/>
          <w:lang w:eastAsia="zh-CN"/>
        </w:rPr>
        <w:t>）</w:t>
      </w:r>
      <w:r>
        <w:rPr>
          <w:rFonts w:hint="eastAsia" w:ascii="宋体" w:hAnsi="宋体" w:cs="宋体"/>
          <w:sz w:val="32"/>
          <w:szCs w:val="32"/>
        </w:rPr>
        <w:t>公务用车购置及运维费。共计安排</w:t>
      </w:r>
      <w:r>
        <w:rPr>
          <w:rFonts w:hint="eastAsia" w:ascii="宋体" w:hAnsi="宋体" w:cs="宋体"/>
          <w:sz w:val="32"/>
          <w:szCs w:val="32"/>
          <w:lang w:val="en-US" w:eastAsia="zh-CN"/>
        </w:rPr>
        <w:t>4</w:t>
      </w:r>
      <w:r>
        <w:rPr>
          <w:rFonts w:hint="eastAsia" w:ascii="宋体" w:hAnsi="宋体" w:cs="宋体"/>
          <w:sz w:val="32"/>
          <w:szCs w:val="32"/>
        </w:rPr>
        <w:t>万元，较上年预</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宋体" w:cs="宋体"/>
          <w:sz w:val="32"/>
          <w:szCs w:val="32"/>
        </w:rPr>
        <w:t>算</w:t>
      </w:r>
      <w:r>
        <w:rPr>
          <w:rFonts w:hint="eastAsia" w:ascii="宋体" w:hAnsi="宋体" w:cs="宋体"/>
          <w:sz w:val="32"/>
          <w:szCs w:val="32"/>
          <w:lang w:val="en-US" w:eastAsia="zh-CN"/>
        </w:rPr>
        <w:t>增加4</w:t>
      </w:r>
      <w:r>
        <w:rPr>
          <w:rFonts w:hint="eastAsia" w:ascii="宋体" w:hAnsi="宋体" w:cs="宋体"/>
          <w:sz w:val="32"/>
          <w:szCs w:val="32"/>
        </w:rPr>
        <w:t>万元。</w:t>
      </w:r>
      <w:r>
        <w:rPr>
          <w:rFonts w:hint="eastAsia" w:ascii="宋体" w:hAnsi="宋体" w:cs="宋体"/>
          <w:sz w:val="32"/>
          <w:szCs w:val="32"/>
          <w:lang w:eastAsia="zh-CN"/>
        </w:rPr>
        <w:t>（</w:t>
      </w:r>
      <w:r>
        <w:rPr>
          <w:rFonts w:ascii="宋体" w:hAnsi="宋体" w:cs="宋体"/>
          <w:sz w:val="32"/>
          <w:szCs w:val="32"/>
        </w:rPr>
        <w:t>1</w:t>
      </w:r>
      <w:r>
        <w:rPr>
          <w:rFonts w:hint="eastAsia" w:ascii="宋体" w:hAnsi="宋体" w:cs="宋体"/>
          <w:sz w:val="32"/>
          <w:szCs w:val="32"/>
        </w:rPr>
        <w:t>）公务用车购置安排</w:t>
      </w:r>
      <w:r>
        <w:rPr>
          <w:rFonts w:hint="eastAsia" w:ascii="宋体" w:cs="宋体"/>
          <w:sz w:val="32"/>
          <w:szCs w:val="32"/>
          <w:lang w:val="en-US" w:eastAsia="zh-CN"/>
        </w:rPr>
        <w:t>0</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Times New Roman" w:cs="宋体"/>
          <w:sz w:val="32"/>
          <w:szCs w:val="32"/>
          <w:lang w:eastAsia="zh-CN"/>
        </w:rPr>
        <w:t>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年预算持平，无增减变化。</w:t>
      </w:r>
      <w:r>
        <w:rPr>
          <w:rFonts w:hint="eastAsia" w:ascii="宋体" w:hAnsi="宋体" w:cs="宋体"/>
          <w:sz w:val="32"/>
          <w:szCs w:val="32"/>
          <w:lang w:eastAsia="zh-CN"/>
        </w:rPr>
        <w:t>（</w:t>
      </w:r>
      <w:r>
        <w:rPr>
          <w:rFonts w:ascii="宋体" w:hAnsi="宋体" w:cs="宋体"/>
          <w:sz w:val="32"/>
          <w:szCs w:val="32"/>
        </w:rPr>
        <w:t>2</w:t>
      </w:r>
      <w:r>
        <w:rPr>
          <w:rFonts w:hint="eastAsia" w:ascii="宋体" w:hAnsi="宋体" w:cs="宋体"/>
          <w:sz w:val="32"/>
          <w:szCs w:val="32"/>
        </w:rPr>
        <w:t>）公车运行维护经费安</w:t>
      </w:r>
      <w:r>
        <w:rPr>
          <w:rFonts w:hint="eastAsia" w:ascii="宋体" w:hAnsi="宋体" w:cs="宋体"/>
          <w:sz w:val="32"/>
          <w:szCs w:val="32"/>
          <w:lang w:val="en-US" w:eastAsia="zh-CN"/>
        </w:rPr>
        <w:t>排4万</w:t>
      </w:r>
      <w:r>
        <w:rPr>
          <w:rFonts w:hint="eastAsia" w:ascii="宋体" w:hAnsi="宋体" w:cs="宋体"/>
          <w:sz w:val="32"/>
          <w:szCs w:val="32"/>
        </w:rPr>
        <w:t>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增加了4万元，增加了公车。</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二</w:t>
      </w:r>
      <w:r>
        <w:rPr>
          <w:rFonts w:hint="eastAsia" w:ascii="宋体" w:hAnsi="宋体" w:cs="宋体"/>
          <w:sz w:val="32"/>
          <w:szCs w:val="32"/>
          <w:lang w:eastAsia="zh-CN"/>
        </w:rPr>
        <w:t>）</w:t>
      </w:r>
      <w:r>
        <w:rPr>
          <w:rFonts w:hint="eastAsia" w:ascii="宋体" w:hAnsi="宋体" w:cs="宋体"/>
          <w:sz w:val="32"/>
          <w:szCs w:val="32"/>
        </w:rPr>
        <w:t>公务接待费安排</w:t>
      </w:r>
      <w:r>
        <w:rPr>
          <w:rFonts w:hint="eastAsia" w:ascii="宋体" w:hAnsi="宋体" w:cs="宋体"/>
          <w:sz w:val="32"/>
          <w:szCs w:val="32"/>
          <w:lang w:val="en-US" w:eastAsia="zh-CN"/>
        </w:rPr>
        <w:t>0</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Times New Roman" w:cs="宋体"/>
          <w:sz w:val="32"/>
          <w:szCs w:val="32"/>
          <w:lang w:eastAsia="zh-CN"/>
        </w:rPr>
        <w:t>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年预算持平，无增减</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Times New Roman" w:cs="宋体"/>
          <w:sz w:val="32"/>
          <w:szCs w:val="32"/>
          <w:lang w:eastAsia="zh-CN"/>
        </w:rPr>
        <w:t>变化。</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Times New Roman" w:cs="宋体"/>
          <w:sz w:val="32"/>
          <w:szCs w:val="32"/>
          <w:lang w:eastAsia="zh-CN"/>
        </w:rPr>
        <w:t>（</w:t>
      </w:r>
      <w:r>
        <w:rPr>
          <w:rFonts w:hint="eastAsia" w:ascii="宋体" w:hAnsi="Times New Roman" w:cs="宋体"/>
          <w:sz w:val="32"/>
          <w:szCs w:val="32"/>
          <w:lang w:val="en-US" w:eastAsia="zh-CN"/>
        </w:rPr>
        <w:t>三</w:t>
      </w:r>
      <w:r>
        <w:rPr>
          <w:rFonts w:hint="eastAsia" w:ascii="宋体" w:hAnsi="Times New Roman" w:cs="宋体"/>
          <w:sz w:val="32"/>
          <w:szCs w:val="32"/>
          <w:lang w:eastAsia="zh-CN"/>
        </w:rPr>
        <w:t>）因公出国（境）费0万元，与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Times New Roman" w:cs="宋体"/>
          <w:sz w:val="32"/>
          <w:szCs w:val="32"/>
          <w:lang w:eastAsia="zh-CN"/>
        </w:rPr>
        <w:t>减变化。</w:t>
      </w: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autoSpaceDE w:val="0"/>
        <w:autoSpaceDN w:val="0"/>
        <w:adjustRightInd w:val="0"/>
        <w:ind w:firstLine="640"/>
        <w:jc w:val="left"/>
        <w:rPr>
          <w:rFonts w:eastAsia="黑体"/>
          <w:b/>
          <w:bCs/>
          <w:kern w:val="0"/>
          <w:sz w:val="32"/>
          <w:szCs w:val="32"/>
        </w:rPr>
      </w:pPr>
      <w:r>
        <w:rPr>
          <w:rFonts w:hint="eastAsia" w:ascii="黑体" w:eastAsia="黑体" w:cs="黑体"/>
          <w:b/>
          <w:bCs/>
          <w:kern w:val="0"/>
          <w:sz w:val="32"/>
          <w:szCs w:val="32"/>
          <w:lang w:val="zh-CN"/>
        </w:rPr>
        <w:t>总体绩效目标：</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left"/>
        <w:textAlignment w:val="auto"/>
        <w:rPr>
          <w:rFonts w:hint="eastAsia" w:ascii="宋体" w:hAnsi="宋体" w:cs="宋体"/>
          <w:sz w:val="32"/>
          <w:szCs w:val="32"/>
          <w:lang w:val="zh-CN"/>
        </w:rPr>
      </w:pPr>
      <w:r>
        <w:rPr>
          <w:rFonts w:hint="eastAsia" w:ascii="宋体" w:hAnsi="宋体" w:cs="宋体"/>
          <w:sz w:val="32"/>
          <w:szCs w:val="32"/>
          <w:lang w:val="en-US" w:eastAsia="uk-UA"/>
        </w:rPr>
        <w:t>本着以“强化读者服务，提升服务效能”为宗旨，围绕优化服务、拓展图书馆教育和信息化功能，以读者服务、业务管理、读者活动为抓手，深入开展图书馆各项工作</w:t>
      </w:r>
      <w:r>
        <w:rPr>
          <w:rFonts w:hint="eastAsia" w:ascii="宋体" w:hAnsi="宋体" w:cs="宋体"/>
          <w:sz w:val="32"/>
          <w:szCs w:val="32"/>
          <w:lang w:val="en-US" w:eastAsia="zh-CN"/>
        </w:rPr>
        <w:t>。</w:t>
      </w:r>
    </w:p>
    <w:p>
      <w:pPr>
        <w:pStyle w:val="25"/>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uk-UA" w:bidi="ar-SA"/>
        </w:rPr>
        <w:t>（一）大力开展读书</w:t>
      </w:r>
      <w:r>
        <w:rPr>
          <w:rFonts w:hint="eastAsia" w:ascii="宋体" w:hAnsi="宋体" w:eastAsia="宋体" w:cs="宋体"/>
          <w:kern w:val="2"/>
          <w:sz w:val="32"/>
          <w:szCs w:val="32"/>
          <w:lang w:val="en-US" w:eastAsia="zh-CN" w:bidi="ar-SA"/>
        </w:rPr>
        <w:t>系列</w:t>
      </w:r>
      <w:r>
        <w:rPr>
          <w:rFonts w:hint="eastAsia" w:ascii="宋体" w:hAnsi="宋体" w:eastAsia="宋体" w:cs="宋体"/>
          <w:kern w:val="2"/>
          <w:sz w:val="32"/>
          <w:szCs w:val="32"/>
          <w:lang w:val="en-US" w:eastAsia="uk-UA" w:bidi="ar-SA"/>
        </w:rPr>
        <w:t>活动</w:t>
      </w:r>
      <w:r>
        <w:rPr>
          <w:rFonts w:hint="eastAsia" w:ascii="宋体" w:hAnsi="宋体" w:eastAsia="宋体" w:cs="宋体"/>
          <w:kern w:val="2"/>
          <w:sz w:val="32"/>
          <w:szCs w:val="32"/>
          <w:lang w:val="en-US" w:eastAsia="zh-CN" w:bidi="ar-SA"/>
        </w:rPr>
        <w:t>。</w:t>
      </w:r>
      <w:r>
        <w:rPr>
          <w:rFonts w:hint="eastAsia" w:ascii="宋体" w:hAnsi="宋体" w:eastAsia="宋体" w:cs="宋体"/>
          <w:kern w:val="2"/>
          <w:sz w:val="32"/>
          <w:szCs w:val="32"/>
          <w:lang w:val="en-US" w:eastAsia="uk-UA" w:bidi="ar-SA"/>
        </w:rPr>
        <w:t>积极利用“互联网+”开启公共文化服务新模式，充分利用网站、微信、微博等渠道，开展形式多样、内容新颖的</w:t>
      </w:r>
      <w:r>
        <w:rPr>
          <w:rFonts w:hint="eastAsia" w:ascii="宋体" w:hAnsi="宋体" w:eastAsia="宋体" w:cs="宋体"/>
          <w:kern w:val="2"/>
          <w:sz w:val="32"/>
          <w:szCs w:val="32"/>
          <w:lang w:val="en-US" w:eastAsia="zh-CN" w:bidi="ar-SA"/>
        </w:rPr>
        <w:t>线上及线下</w:t>
      </w:r>
      <w:r>
        <w:rPr>
          <w:rFonts w:hint="eastAsia" w:ascii="宋体" w:hAnsi="宋体" w:eastAsia="宋体" w:cs="宋体"/>
          <w:kern w:val="2"/>
          <w:sz w:val="32"/>
          <w:szCs w:val="32"/>
          <w:lang w:val="en-US" w:eastAsia="uk-UA" w:bidi="ar-SA"/>
        </w:rPr>
        <w:t>文化服务</w:t>
      </w:r>
      <w:r>
        <w:rPr>
          <w:rFonts w:hint="eastAsia" w:ascii="宋体" w:hAnsi="宋体" w:eastAsia="宋体" w:cs="宋体"/>
          <w:kern w:val="2"/>
          <w:sz w:val="32"/>
          <w:szCs w:val="32"/>
          <w:lang w:val="en-US" w:eastAsia="zh-CN" w:bidi="ar-SA"/>
        </w:rPr>
        <w:t>。</w:t>
      </w:r>
    </w:p>
    <w:p>
      <w:pPr>
        <w:pStyle w:val="6"/>
        <w:numPr>
          <w:ilvl w:val="0"/>
          <w:numId w:val="0"/>
        </w:numPr>
        <w:shd w:val="clear" w:color="auto" w:fill="FFFFFF"/>
        <w:spacing w:beforeAutospacing="0" w:afterAutospacing="0" w:line="540" w:lineRule="atLeast"/>
        <w:ind w:firstLine="640" w:firstLineChars="200"/>
        <w:rPr>
          <w:rFonts w:hint="eastAsia" w:ascii="宋体" w:hAnsi="宋体" w:eastAsia="宋体" w:cs="宋体"/>
          <w:kern w:val="2"/>
          <w:sz w:val="32"/>
          <w:szCs w:val="32"/>
          <w:lang w:val="en-US" w:eastAsia="uk-UA" w:bidi="ar-SA"/>
        </w:rPr>
      </w:pPr>
      <w:r>
        <w:rPr>
          <w:rFonts w:hint="eastAsia" w:ascii="宋体" w:hAnsi="宋体" w:eastAsia="宋体" w:cs="宋体"/>
          <w:kern w:val="2"/>
          <w:sz w:val="32"/>
          <w:szCs w:val="32"/>
          <w:lang w:val="en-US" w:eastAsia="uk-UA" w:bidi="ar-SA"/>
        </w:rPr>
        <w:t>（二）</w:t>
      </w:r>
      <w:r>
        <w:rPr>
          <w:rFonts w:hint="eastAsia" w:ascii="宋体" w:hAnsi="宋体" w:eastAsia="宋体" w:cs="宋体"/>
          <w:kern w:val="2"/>
          <w:sz w:val="32"/>
          <w:szCs w:val="32"/>
          <w:lang w:val="en-US" w:eastAsia="zh-CN" w:bidi="ar-SA"/>
        </w:rPr>
        <w:t>做好第七次全国公共图书馆评估准备工作。</w:t>
      </w:r>
      <w:r>
        <w:rPr>
          <w:rFonts w:hint="eastAsia" w:ascii="宋体" w:hAnsi="宋体" w:eastAsia="宋体" w:cs="宋体"/>
          <w:kern w:val="2"/>
          <w:sz w:val="32"/>
          <w:szCs w:val="32"/>
          <w:lang w:val="en-US" w:eastAsia="uk-UA" w:bidi="ar-SA"/>
        </w:rPr>
        <w:t>评估定级工作是构建现代公共文化体系建设、促进图书馆发展的需要</w:t>
      </w:r>
      <w:r>
        <w:rPr>
          <w:rFonts w:hint="eastAsia" w:ascii="宋体" w:hAnsi="宋体" w:eastAsia="宋体" w:cs="宋体"/>
          <w:kern w:val="2"/>
          <w:sz w:val="32"/>
          <w:szCs w:val="32"/>
          <w:lang w:val="en-US" w:eastAsia="zh-CN" w:bidi="ar-SA"/>
        </w:rPr>
        <w:t>。</w:t>
      </w:r>
    </w:p>
    <w:p>
      <w:pPr>
        <w:pStyle w:val="25"/>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uk-UA" w:bidi="ar-SA"/>
        </w:rPr>
        <w:t>（三）</w:t>
      </w:r>
      <w:r>
        <w:rPr>
          <w:rFonts w:hint="eastAsia" w:ascii="宋体" w:hAnsi="宋体" w:eastAsia="宋体" w:cs="宋体"/>
          <w:kern w:val="2"/>
          <w:sz w:val="32"/>
          <w:szCs w:val="32"/>
          <w:lang w:val="en-US" w:eastAsia="zh-CN" w:bidi="ar-SA"/>
        </w:rPr>
        <w:t>做好国家公共文化服务体系示范区复检工作。</w:t>
      </w:r>
      <w:r>
        <w:rPr>
          <w:rFonts w:hint="eastAsia" w:ascii="宋体" w:hAnsi="宋体" w:eastAsia="宋体" w:cs="宋体"/>
          <w:kern w:val="2"/>
          <w:sz w:val="32"/>
          <w:szCs w:val="32"/>
          <w:lang w:val="en-US" w:eastAsia="uk-UA" w:bidi="ar-SA"/>
        </w:rPr>
        <w:t>围绕示范区创建验收标准，从提升重点公共文化设施品质等方面补短板强弱项促提升</w:t>
      </w:r>
      <w:r>
        <w:rPr>
          <w:rFonts w:hint="eastAsia" w:ascii="宋体" w:hAnsi="宋体" w:eastAsia="宋体" w:cs="宋体"/>
          <w:kern w:val="2"/>
          <w:sz w:val="32"/>
          <w:szCs w:val="32"/>
          <w:lang w:val="en-US" w:eastAsia="zh-CN" w:bidi="ar-SA"/>
        </w:rPr>
        <w:t>。</w:t>
      </w:r>
    </w:p>
    <w:p>
      <w:pPr>
        <w:autoSpaceDE w:val="0"/>
        <w:autoSpaceDN w:val="0"/>
        <w:adjustRightInd w:val="0"/>
        <w:jc w:val="left"/>
        <w:rPr>
          <w:rFonts w:hint="eastAsia" w:ascii="宋体" w:hAnsi="宋体" w:eastAsia="宋体" w:cs="宋体"/>
          <w:kern w:val="2"/>
          <w:sz w:val="32"/>
          <w:szCs w:val="32"/>
          <w:lang w:val="zh-CN" w:eastAsia="uk-UA" w:bidi="ar-SA"/>
        </w:rPr>
      </w:pPr>
      <w:r>
        <w:rPr>
          <w:rFonts w:hint="eastAsia" w:ascii="宋体" w:hAnsi="宋体" w:eastAsia="宋体" w:cs="宋体"/>
          <w:kern w:val="2"/>
          <w:sz w:val="32"/>
          <w:szCs w:val="32"/>
          <w:lang w:val="zh-CN" w:eastAsia="uk-UA" w:bidi="ar-SA"/>
        </w:rPr>
        <w:t xml:space="preserve">   </w:t>
      </w:r>
    </w:p>
    <w:p>
      <w:pPr>
        <w:autoSpaceDE w:val="0"/>
        <w:autoSpaceDN w:val="0"/>
        <w:adjustRightInd w:val="0"/>
        <w:jc w:val="left"/>
        <w:rPr>
          <w:rFonts w:ascii="宋体" w:cs="宋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pPr>
      <w:r>
        <w:rPr>
          <w:rFonts w:hint="eastAsia" w:ascii="黑体" w:hAnsi="Times New Roman" w:eastAsia="黑体" w:cs="黑体"/>
          <w:b/>
          <w:bCs/>
          <w:kern w:val="0"/>
          <w:sz w:val="32"/>
          <w:szCs w:val="32"/>
          <w:lang w:val="en-US" w:eastAsia="zh-CN"/>
        </w:rPr>
        <w:t>预算项目绩效目标：</w:t>
      </w:r>
    </w:p>
    <w:p>
      <w:pPr>
        <w:ind w:firstLine="560" w:firstLineChars="200"/>
        <w:jc w:val="left"/>
        <w:outlineLvl w:val="3"/>
        <w:rPr>
          <w:rFonts w:hAnsi="宋体"/>
          <w:b/>
          <w:sz w:val="28"/>
        </w:rPr>
      </w:pPr>
      <w:bookmarkStart w:id="5" w:name="_Toc65057175"/>
      <w:r>
        <w:rPr>
          <w:rFonts w:hint="eastAsia" w:ascii="方正仿宋_GBK" w:eastAsia="方正仿宋_GBK"/>
          <w:b/>
          <w:sz w:val="28"/>
          <w:lang w:val="en-US" w:eastAsia="zh-CN"/>
        </w:rPr>
        <w:t>1</w:t>
      </w:r>
      <w:r>
        <w:rPr>
          <w:rFonts w:hint="eastAsia" w:ascii="方正仿宋_GBK" w:eastAsia="方正仿宋_GBK"/>
          <w:b/>
          <w:sz w:val="28"/>
        </w:rPr>
        <w:t>.每年新增藏量购书经费绩效目标表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9、每年新增藏量购书经费绩效目标表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293"/>
        <w:gridCol w:w="1276"/>
        <w:gridCol w:w="2043"/>
        <w:gridCol w:w="1170"/>
        <w:gridCol w:w="1230"/>
        <w:gridCol w:w="1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7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425"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569" w:type="dxa"/>
            <w:gridSpan w:val="2"/>
            <w:noWrap w:val="0"/>
            <w:vAlign w:val="center"/>
          </w:tcPr>
          <w:p>
            <w:pPr>
              <w:spacing w:line="300" w:lineRule="exact"/>
              <w:jc w:val="left"/>
              <w:rPr>
                <w:rFonts w:ascii="方正书宋_GBK" w:eastAsia="方正书宋_GBK"/>
              </w:rPr>
            </w:pPr>
            <w:r>
              <w:rPr>
                <w:rFonts w:ascii="方正书宋_GBK" w:eastAsia="方正书宋_GBK"/>
              </w:rPr>
              <w:t>13020921EZGX1IURWWUK2</w:t>
            </w:r>
          </w:p>
        </w:tc>
        <w:tc>
          <w:tcPr>
            <w:tcW w:w="2043"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25" w:type="dxa"/>
            <w:gridSpan w:val="3"/>
            <w:noWrap w:val="0"/>
            <w:vAlign w:val="center"/>
          </w:tcPr>
          <w:p>
            <w:pPr>
              <w:spacing w:line="300" w:lineRule="exact"/>
              <w:jc w:val="left"/>
              <w:rPr>
                <w:rFonts w:ascii="方正书宋_GBK" w:eastAsia="方正书宋_GBK"/>
              </w:rPr>
            </w:pPr>
            <w:r>
              <w:rPr>
                <w:rFonts w:hint="eastAsia" w:ascii="方正书宋_GBK" w:eastAsia="方正书宋_GBK"/>
              </w:rPr>
              <w:t>每年新增藏量购书经费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9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54.80</w:t>
            </w:r>
          </w:p>
        </w:tc>
        <w:tc>
          <w:tcPr>
            <w:tcW w:w="2043"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170" w:type="dxa"/>
            <w:noWrap w:val="0"/>
            <w:vAlign w:val="center"/>
          </w:tcPr>
          <w:p>
            <w:pPr>
              <w:spacing w:line="300" w:lineRule="exact"/>
              <w:jc w:val="left"/>
              <w:rPr>
                <w:rFonts w:ascii="方正书宋_GBK" w:eastAsia="方正书宋_GBK"/>
              </w:rPr>
            </w:pPr>
            <w:r>
              <w:rPr>
                <w:rFonts w:ascii="方正书宋_GBK" w:eastAsia="方正书宋_GBK"/>
              </w:rPr>
              <w:t>54.80</w:t>
            </w:r>
          </w:p>
        </w:tc>
        <w:tc>
          <w:tcPr>
            <w:tcW w:w="123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425"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continue"/>
            <w:noWrap w:val="0"/>
            <w:vAlign w:val="center"/>
          </w:tcPr>
          <w:p>
            <w:pPr>
              <w:spacing w:line="300" w:lineRule="exact"/>
              <w:jc w:val="left"/>
              <w:outlineLvl w:val="3"/>
            </w:pPr>
          </w:p>
        </w:tc>
        <w:tc>
          <w:tcPr>
            <w:tcW w:w="8437"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根据《中华人民共和国公共文化服务保障法》、《中华人民共和国公共图书馆法》的要求，需每年新增图书藏量，即每年人均年增新书</w:t>
            </w:r>
            <w:r>
              <w:rPr>
                <w:rFonts w:ascii="方正书宋_GBK" w:eastAsia="方正书宋_GBK"/>
              </w:rPr>
              <w:t>0.05</w:t>
            </w:r>
            <w:r>
              <w:rPr>
                <w:rFonts w:hint="eastAsia" w:ascii="方正书宋_GBK" w:eastAsia="方正书宋_GBK"/>
              </w:rPr>
              <w:t>册。我区</w:t>
            </w:r>
            <w:r>
              <w:rPr>
                <w:rFonts w:ascii="方正书宋_GBK" w:eastAsia="方正书宋_GBK"/>
              </w:rPr>
              <w:t>2019</w:t>
            </w:r>
            <w:r>
              <w:rPr>
                <w:rFonts w:hint="eastAsia" w:ascii="方正书宋_GBK" w:eastAsia="方正书宋_GBK"/>
              </w:rPr>
              <w:t>年底常住人口</w:t>
            </w:r>
            <w:r>
              <w:rPr>
                <w:rFonts w:ascii="方正书宋_GBK" w:eastAsia="方正书宋_GBK"/>
              </w:rPr>
              <w:t>313000</w:t>
            </w:r>
            <w:r>
              <w:rPr>
                <w:rFonts w:hint="eastAsia" w:ascii="方正书宋_GBK" w:eastAsia="方正书宋_GBK"/>
              </w:rPr>
              <w:t>人，我馆应每年人均年增新书为</w:t>
            </w:r>
            <w:r>
              <w:rPr>
                <w:rFonts w:ascii="方正书宋_GBK" w:eastAsia="方正书宋_GBK"/>
              </w:rPr>
              <w:t>313000</w:t>
            </w:r>
            <w:r>
              <w:rPr>
                <w:rFonts w:hint="eastAsia" w:ascii="方正书宋_GBK" w:eastAsia="方正书宋_GBK"/>
              </w:rPr>
              <w:t>人</w:t>
            </w:r>
            <w:r>
              <w:rPr>
                <w:rFonts w:hint="cs" w:ascii="方正书宋_GBK" w:eastAsia="方正书宋_GBK"/>
                <w:cs/>
              </w:rPr>
              <w:t>×</w:t>
            </w:r>
            <w:r>
              <w:rPr>
                <w:rFonts w:ascii="方正书宋_GBK" w:eastAsia="方正书宋_GBK"/>
              </w:rPr>
              <w:t>0.05</w:t>
            </w:r>
            <w:r>
              <w:rPr>
                <w:rFonts w:hint="eastAsia" w:ascii="方正书宋_GBK" w:eastAsia="方正书宋_GBK"/>
              </w:rPr>
              <w:t>册</w:t>
            </w:r>
            <w:r>
              <w:rPr>
                <w:rFonts w:ascii="方正书宋_GBK" w:eastAsia="方正书宋_GBK"/>
              </w:rPr>
              <w:t>=15650</w:t>
            </w:r>
            <w:r>
              <w:rPr>
                <w:rFonts w:hint="eastAsia" w:ascii="方正书宋_GBK" w:eastAsia="方正书宋_GBK"/>
              </w:rPr>
              <w:t>册，因此，今年所需人均年增新书购置资金</w:t>
            </w:r>
            <w:r>
              <w:rPr>
                <w:rFonts w:ascii="方正书宋_GBK" w:eastAsia="方正书宋_GBK"/>
              </w:rPr>
              <w:t>15650</w:t>
            </w:r>
            <w:r>
              <w:rPr>
                <w:rFonts w:hint="eastAsia" w:ascii="方正书宋_GBK" w:eastAsia="方正书宋_GBK"/>
              </w:rPr>
              <w:t>册</w:t>
            </w:r>
            <w:r>
              <w:rPr>
                <w:rFonts w:hint="cs" w:ascii="方正书宋_GBK" w:eastAsia="方正书宋_GBK"/>
                <w:cs/>
              </w:rPr>
              <w:t>×</w:t>
            </w:r>
            <w:r>
              <w:rPr>
                <w:rFonts w:ascii="方正书宋_GBK" w:eastAsia="方正书宋_GBK"/>
              </w:rPr>
              <w:t>35</w:t>
            </w:r>
            <w:r>
              <w:rPr>
                <w:rFonts w:hint="eastAsia" w:ascii="方正书宋_GBK" w:eastAsia="方正书宋_GBK"/>
              </w:rPr>
              <w:t>元</w:t>
            </w:r>
            <w:r>
              <w:rPr>
                <w:rFonts w:ascii="方正书宋_GBK" w:eastAsia="方正书宋_GBK"/>
              </w:rPr>
              <w:t>=547750</w:t>
            </w:r>
            <w:r>
              <w:rPr>
                <w:rFonts w:hint="eastAsia" w:ascii="方正书宋_GBK" w:eastAsia="方正书宋_GBK"/>
              </w:rPr>
              <w:t>元，购买年新增藏量图书。为此，共需资金</w:t>
            </w:r>
            <w:r>
              <w:rPr>
                <w:rFonts w:ascii="方正书宋_GBK" w:eastAsia="方正书宋_GBK"/>
              </w:rPr>
              <w:t>54.8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569"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43"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7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5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60" w:type="dxa"/>
            <w:vMerge w:val="continue"/>
            <w:tcBorders>
              <w:bottom w:val="single" w:color="000000" w:sz="6" w:space="0"/>
            </w:tcBorders>
            <w:noWrap w:val="0"/>
            <w:vAlign w:val="center"/>
          </w:tcPr>
          <w:p>
            <w:pPr>
              <w:spacing w:line="300" w:lineRule="exact"/>
              <w:jc w:val="left"/>
              <w:outlineLvl w:val="3"/>
            </w:pPr>
          </w:p>
        </w:tc>
        <w:tc>
          <w:tcPr>
            <w:tcW w:w="2569"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2043"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17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655"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37"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完成新增资产审批</w:t>
            </w:r>
            <w:r>
              <w:rPr>
                <w:rFonts w:ascii="方正书宋_GBK" w:eastAsia="方正书宋_GBK"/>
              </w:rPr>
              <w:t>2.</w:t>
            </w:r>
            <w:r>
              <w:rPr>
                <w:rFonts w:hint="eastAsia" w:ascii="方正书宋_GBK" w:eastAsia="方正书宋_GBK"/>
              </w:rPr>
              <w:t>完成政府采购手续</w:t>
            </w:r>
            <w:r>
              <w:rPr>
                <w:rFonts w:ascii="方正书宋_GBK" w:eastAsia="方正书宋_GBK"/>
              </w:rPr>
              <w:t>3.</w:t>
            </w:r>
            <w:r>
              <w:rPr>
                <w:rFonts w:hint="eastAsia" w:ascii="方正书宋_GBK" w:eastAsia="方正书宋_GBK"/>
              </w:rPr>
              <w:t>完成采购图书，数据加工上架</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93"/>
        <w:gridCol w:w="1276"/>
        <w:gridCol w:w="2891"/>
        <w:gridCol w:w="1950"/>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95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02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1950" w:type="dxa"/>
            <w:noWrap w:val="0"/>
            <w:vAlign w:val="center"/>
          </w:tcPr>
          <w:p>
            <w:pPr>
              <w:spacing w:line="300" w:lineRule="exact"/>
              <w:jc w:val="left"/>
              <w:rPr>
                <w:rFonts w:ascii="方正书宋_GBK" w:eastAsia="方正书宋_GBK"/>
              </w:rPr>
            </w:pPr>
            <w:r>
              <w:rPr>
                <w:rFonts w:ascii="方正书宋_GBK" w:eastAsia="方正书宋_GBK"/>
              </w:rPr>
              <w:t>&gt;15000</w:t>
            </w:r>
            <w:r>
              <w:rPr>
                <w:rFonts w:hint="eastAsia" w:ascii="方正书宋_GBK" w:eastAsia="方正书宋_GBK"/>
              </w:rPr>
              <w:t>需每年新增图书藏量，即每年人均年增新书</w:t>
            </w:r>
            <w:r>
              <w:rPr>
                <w:rFonts w:ascii="方正书宋_GBK" w:eastAsia="方正书宋_GBK"/>
              </w:rPr>
              <w:t>0.05</w:t>
            </w:r>
            <w:r>
              <w:rPr>
                <w:rFonts w:hint="eastAsia" w:ascii="方正书宋_GBK" w:eastAsia="方正书宋_GBK"/>
              </w:rPr>
              <w:t>册</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质量合格情况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采购图书质量</w:t>
            </w:r>
          </w:p>
        </w:tc>
        <w:tc>
          <w:tcPr>
            <w:tcW w:w="1950" w:type="dxa"/>
            <w:noWrap w:val="0"/>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所购图书全部验收合格</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950" w:type="dxa"/>
            <w:noWrap w:val="0"/>
            <w:vAlign w:val="center"/>
          </w:tcPr>
          <w:p>
            <w:pPr>
              <w:spacing w:line="300" w:lineRule="exact"/>
              <w:jc w:val="left"/>
              <w:rPr>
                <w:rFonts w:ascii="方正书宋_GBK" w:eastAsia="方正书宋_GBK"/>
              </w:rPr>
            </w:pPr>
            <w:r>
              <w:rPr>
                <w:rFonts w:hint="eastAsia" w:ascii="方正书宋_GBK" w:eastAsia="方正书宋_GBK"/>
              </w:rPr>
              <w:t>年底之前必须完成</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预算控制额</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不超预算</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为读者提供各专业领域图书资料</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提供优质服务</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读者满意度</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0" w:firstLineChars="200"/>
        <w:jc w:val="left"/>
        <w:outlineLvl w:val="3"/>
        <w:rPr>
          <w:rFonts w:hAnsi="宋体"/>
          <w:b/>
          <w:sz w:val="28"/>
        </w:rPr>
      </w:pPr>
      <w:bookmarkStart w:id="6" w:name="_Toc65057176"/>
      <w:r>
        <w:rPr>
          <w:rFonts w:hint="eastAsia" w:ascii="方正仿宋_GBK" w:eastAsia="方正仿宋_GBK"/>
          <w:b/>
          <w:sz w:val="28"/>
          <w:lang w:val="en-US" w:eastAsia="zh-CN"/>
        </w:rPr>
        <w:t>2</w:t>
      </w:r>
      <w:r>
        <w:rPr>
          <w:rFonts w:hint="eastAsia" w:ascii="方正仿宋_GBK" w:eastAsia="方正仿宋_GBK"/>
          <w:b/>
          <w:sz w:val="28"/>
        </w:rPr>
        <w:t>.县级配套免费开放专项经费绩效目标表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10、县级配套免费开放专项经费绩效目标表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941"/>
        <w:gridCol w:w="1125"/>
        <w:gridCol w:w="1290"/>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00"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512"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13020921FM7F0NMSX1GV7</w:t>
            </w:r>
          </w:p>
        </w:tc>
        <w:tc>
          <w:tcPr>
            <w:tcW w:w="1941"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927"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县级配套免费开放专项经费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941"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125"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9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512"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用于图书购置、文献资源借阅、检索与咨询，举办公益性讲座，开展阅读推广、宣传活动，培训，文化信息资源共享工程、公共电子阅览室服务及设备进行维护，业务活动用房小型修缮及零星业务设备更新等。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1"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25"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802"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25%</w:t>
            </w:r>
          </w:p>
        </w:tc>
        <w:tc>
          <w:tcPr>
            <w:tcW w:w="1941" w:type="dxa"/>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50%</w:t>
            </w:r>
          </w:p>
        </w:tc>
        <w:tc>
          <w:tcPr>
            <w:tcW w:w="1125" w:type="dxa"/>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75%</w:t>
            </w:r>
          </w:p>
        </w:tc>
        <w:tc>
          <w:tcPr>
            <w:tcW w:w="2802" w:type="dxa"/>
            <w:gridSpan w:val="2"/>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图书购置、文献资源借阅、检索与咨询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举办公益性讲座，开展阅读推广、宣传活动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文化信息资源共享工程、公共电子阅览室服务及设备进行维护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215"/>
        <w:gridCol w:w="1434"/>
        <w:gridCol w:w="2891"/>
        <w:gridCol w:w="1795"/>
        <w:gridCol w:w="1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9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1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9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18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15"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34"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读者借阅图书</w:t>
            </w:r>
          </w:p>
        </w:tc>
        <w:tc>
          <w:tcPr>
            <w:tcW w:w="1795"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服务读者不少于</w:t>
            </w:r>
            <w:r>
              <w:rPr>
                <w:rFonts w:ascii="方正书宋_GBK" w:eastAsia="方正书宋_GBK"/>
              </w:rPr>
              <w:t>30000</w:t>
            </w:r>
            <w:r>
              <w:rPr>
                <w:rFonts w:hint="eastAsia" w:ascii="方正书宋_GBK" w:eastAsia="方正书宋_GBK"/>
              </w:rPr>
              <w:t>人次</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书籍质量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保证购买的书籍质量完整，符合党建需要。</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高质量，满足读者服务</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按时完成预定目标</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总预算数</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不超预算数</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提供社会科学研究所需的图书、数据、资料、数字信息等研究资源，进一步满足广大科研人员的对数据、信息、资料的需求，提升社会科学研究的质量。</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提供社会科学研究所需的图书</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读者满意度不小于</w:t>
            </w:r>
            <w:r>
              <w:rPr>
                <w:rFonts w:ascii="方正书宋_GBK" w:eastAsia="方正书宋_GBK"/>
              </w:rPr>
              <w:t>90%</w:t>
            </w:r>
          </w:p>
        </w:tc>
        <w:tc>
          <w:tcPr>
            <w:tcW w:w="1182"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0" w:firstLineChars="200"/>
        <w:jc w:val="left"/>
        <w:outlineLvl w:val="3"/>
        <w:rPr>
          <w:rFonts w:hAnsi="宋体"/>
          <w:b/>
          <w:sz w:val="28"/>
        </w:rPr>
      </w:pPr>
      <w:bookmarkStart w:id="7" w:name="_Toc65057177"/>
      <w:r>
        <w:rPr>
          <w:rFonts w:hint="eastAsia" w:ascii="方正仿宋_GBK" w:eastAsia="方正仿宋_GBK"/>
          <w:b/>
          <w:sz w:val="28"/>
          <w:lang w:val="en-US" w:eastAsia="zh-CN"/>
        </w:rPr>
        <w:t>3</w:t>
      </w:r>
      <w:r>
        <w:rPr>
          <w:rFonts w:hint="eastAsia" w:ascii="方正仿宋_GBK" w:eastAsia="方正仿宋_GBK"/>
          <w:b/>
          <w:sz w:val="28"/>
        </w:rPr>
        <w:t>.每年期刊、报纸购置经费绩效目标表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11、每年期刊、报纸购置经费绩效目标表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82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13020921MLB8BRXZP8HQB</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409" w:type="dxa"/>
            <w:gridSpan w:val="3"/>
            <w:noWrap w:val="0"/>
            <w:vAlign w:val="center"/>
          </w:tcPr>
          <w:p>
            <w:pPr>
              <w:spacing w:line="300" w:lineRule="exact"/>
              <w:jc w:val="left"/>
              <w:rPr>
                <w:rFonts w:ascii="方正书宋_GBK" w:eastAsia="方正书宋_GBK"/>
              </w:rPr>
            </w:pPr>
            <w:r>
              <w:rPr>
                <w:rFonts w:hint="eastAsia" w:ascii="方正书宋_GBK" w:eastAsia="方正书宋_GBK"/>
              </w:rPr>
              <w:t>每年期刊、报纸购置经费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2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406"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发挥公共图书馆功能，保障公民基本文化权益，满足广大公众文献信息基本文化需求，因此，每年需购置报刊，所需购置报刊经费</w:t>
            </w:r>
            <w:r>
              <w:rPr>
                <w:rFonts w:ascii="方正书宋_GBK" w:eastAsia="方正书宋_GBK"/>
              </w:rPr>
              <w:t>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10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3105"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0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发挥公共图书馆功能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保障公民基本文化权益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满足广大公众文献信息基本文化需求</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05"/>
        <w:gridCol w:w="1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0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37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1605"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购买期刊种类不少于</w:t>
            </w:r>
            <w:r>
              <w:rPr>
                <w:rFonts w:ascii="方正书宋_GBK" w:eastAsia="方正书宋_GBK"/>
              </w:rPr>
              <w:t>100</w:t>
            </w:r>
            <w:r>
              <w:rPr>
                <w:rFonts w:hint="eastAsia" w:ascii="方正书宋_GBK" w:eastAsia="方正书宋_GBK"/>
              </w:rPr>
              <w:t>种</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期刊影响力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读者受益</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期刊借阅不少</w:t>
            </w:r>
            <w:r>
              <w:rPr>
                <w:rFonts w:ascii="方正书宋_GBK" w:eastAsia="方正书宋_GBK"/>
              </w:rPr>
              <w:t>2000</w:t>
            </w:r>
            <w:r>
              <w:rPr>
                <w:rFonts w:hint="eastAsia" w:ascii="方正书宋_GBK" w:eastAsia="方正书宋_GBK"/>
              </w:rPr>
              <w:t>人次</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完成期刊购置</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预算资金完成率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全部用于购置期刊、报纸</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读者收获更多专业知识</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读者收获更多专业知识</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实现无纸化</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实现无纸化，充分利用网络的便利性</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实现无纸化，充分利用网络的便利性</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干部业务能力和综合素质变化情况</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读者收获更多专业知识</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更好的服务读者</w:t>
            </w:r>
          </w:p>
        </w:tc>
        <w:tc>
          <w:tcPr>
            <w:tcW w:w="1372"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0" w:firstLineChars="200"/>
        <w:jc w:val="left"/>
        <w:outlineLvl w:val="3"/>
        <w:rPr>
          <w:rFonts w:hAnsi="宋体"/>
          <w:b/>
          <w:sz w:val="28"/>
        </w:rPr>
      </w:pPr>
      <w:bookmarkStart w:id="8" w:name="_Toc65057178"/>
      <w:r>
        <w:rPr>
          <w:rFonts w:hint="eastAsia" w:ascii="方正仿宋_GBK" w:eastAsia="方正仿宋_GBK"/>
          <w:b/>
          <w:sz w:val="28"/>
          <w:lang w:val="en-US" w:eastAsia="zh-CN"/>
        </w:rPr>
        <w:t>4</w:t>
      </w:r>
      <w:r>
        <w:rPr>
          <w:rFonts w:hint="eastAsia" w:ascii="方正仿宋_GBK" w:eastAsia="方正仿宋_GBK"/>
          <w:b/>
          <w:sz w:val="28"/>
        </w:rPr>
        <w:t>.幼儿绘本馆自助借还机项目绩效目标表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12、幼儿绘本馆自助借还机项目绩效目标表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13020921T1W7OVPS7TZ4V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幼儿绘本馆自助借还机项目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加强图书馆的服务效能建设，图书馆基础设施及馆藏量的提升，极大的吸引越来越多的读者到图书馆浏览借阅图书，随着流通量增加，单靠人工提供借还服务效率不高，对读者也不便利。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购置设备</w:t>
            </w:r>
            <w:r>
              <w:rPr>
                <w:rFonts w:ascii="方正书宋_GBK" w:eastAsia="方正书宋_GBK"/>
              </w:rPr>
              <w:t>2.</w:t>
            </w:r>
            <w:r>
              <w:rPr>
                <w:rFonts w:hint="eastAsia" w:ascii="方正书宋_GBK" w:eastAsia="方正书宋_GBK"/>
              </w:rPr>
              <w:t>调试设备，服务读者</w:t>
            </w:r>
            <w:r>
              <w:rPr>
                <w:rFonts w:ascii="方正书宋_GBK" w:eastAsia="方正书宋_GBK"/>
              </w:rPr>
              <w:t>3.</w:t>
            </w:r>
            <w:r>
              <w:rPr>
                <w:rFonts w:hint="eastAsia" w:ascii="方正书宋_GBK" w:eastAsia="方正书宋_GBK"/>
              </w:rPr>
              <w:t>提高绘本流通量</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480"/>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8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9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c>
          <w:tcPr>
            <w:tcW w:w="1480" w:type="dxa"/>
            <w:noWrap w:val="0"/>
            <w:vAlign w:val="center"/>
          </w:tcPr>
          <w:p>
            <w:pPr>
              <w:spacing w:line="300" w:lineRule="exact"/>
              <w:jc w:val="left"/>
              <w:rPr>
                <w:rFonts w:ascii="方正书宋_GBK" w:eastAsia="方正书宋_GBK"/>
              </w:rPr>
            </w:pPr>
            <w:r>
              <w:rPr>
                <w:rFonts w:hint="eastAsia" w:ascii="方正书宋_GBK" w:eastAsia="方正书宋_GBK"/>
              </w:rPr>
              <w:t>购置设备，完成支付</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验收设备合格</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设备完成调试</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按规定时间完成</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预算资金完成率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按规定完成购置，不超预算</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按照预算指标完成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通过科学编制预算，严格遵守各项规章制度，提高财政资金的使用效率，做到节俭高效。</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按照预算指标弯沉</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设备正常运转，工作正常开展</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读者满意度不低于</w:t>
            </w:r>
            <w:r>
              <w:rPr>
                <w:rFonts w:ascii="方正书宋_GBK" w:eastAsia="方正书宋_GBK"/>
              </w:rPr>
              <w:t>95%</w:t>
            </w:r>
          </w:p>
        </w:tc>
        <w:tc>
          <w:tcPr>
            <w:tcW w:w="1497"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0" w:firstLineChars="200"/>
        <w:jc w:val="left"/>
        <w:outlineLvl w:val="3"/>
        <w:rPr>
          <w:rFonts w:hAnsi="宋体"/>
          <w:b/>
          <w:sz w:val="28"/>
        </w:rPr>
      </w:pPr>
      <w:bookmarkStart w:id="9" w:name="_Toc65057179"/>
      <w:r>
        <w:rPr>
          <w:rFonts w:hint="eastAsia" w:ascii="方正仿宋_GBK" w:eastAsia="方正仿宋_GBK"/>
          <w:b/>
          <w:sz w:val="28"/>
          <w:lang w:val="en-US" w:eastAsia="zh-CN"/>
        </w:rPr>
        <w:t>5</w:t>
      </w:r>
      <w:r>
        <w:rPr>
          <w:rFonts w:hint="eastAsia" w:ascii="方正仿宋_GBK" w:eastAsia="方正仿宋_GBK"/>
          <w:b/>
          <w:sz w:val="28"/>
        </w:rPr>
        <w:t>.24小时无人看守微型图书馆项目绩效目标表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13、24小时无人看守微型图书馆项目绩效目标表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1134"/>
        <w:gridCol w:w="1276"/>
        <w:gridCol w:w="1750"/>
        <w:gridCol w:w="330"/>
        <w:gridCol w:w="81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02"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13020921XRG2SI1FSZV74</w:t>
            </w:r>
          </w:p>
        </w:tc>
        <w:tc>
          <w:tcPr>
            <w:tcW w:w="175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118" w:type="dxa"/>
            <w:gridSpan w:val="4"/>
            <w:noWrap w:val="0"/>
            <w:vAlign w:val="center"/>
          </w:tcPr>
          <w:p>
            <w:pPr>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小时无人看守微型图书馆项目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w:t>
            </w:r>
          </w:p>
        </w:tc>
        <w:tc>
          <w:tcPr>
            <w:tcW w:w="208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811" w:type="dxa"/>
            <w:noWrap w:val="0"/>
            <w:vAlign w:val="center"/>
          </w:tcPr>
          <w:p>
            <w:pPr>
              <w:spacing w:line="300" w:lineRule="exact"/>
              <w:jc w:val="left"/>
              <w:rPr>
                <w:rFonts w:ascii="方正书宋_GBK" w:eastAsia="方正书宋_GBK"/>
              </w:rPr>
            </w:pPr>
            <w:r>
              <w:rPr>
                <w:rFonts w:ascii="方正书宋_GBK" w:eastAsia="方正书宋_GBK"/>
              </w:rPr>
              <w:t>9.00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noWrap w:val="0"/>
            <w:vAlign w:val="center"/>
          </w:tcPr>
          <w:p>
            <w:pPr>
              <w:spacing w:line="300" w:lineRule="exact"/>
              <w:jc w:val="left"/>
              <w:outlineLvl w:val="3"/>
            </w:pPr>
          </w:p>
        </w:tc>
        <w:tc>
          <w:tcPr>
            <w:tcW w:w="8278" w:type="dxa"/>
            <w:gridSpan w:val="7"/>
            <w:noWrap w:val="0"/>
            <w:vAlign w:val="center"/>
          </w:tcPr>
          <w:p>
            <w:pPr>
              <w:spacing w:line="300" w:lineRule="exact"/>
              <w:jc w:val="left"/>
              <w:rPr>
                <w:rFonts w:ascii="方正书宋_GBK" w:eastAsia="方正书宋_GBK"/>
              </w:rPr>
            </w:pPr>
            <w:r>
              <w:rPr>
                <w:rFonts w:hint="eastAsia" w:ascii="方正书宋_GBK" w:eastAsia="方正书宋_GBK"/>
              </w:rPr>
              <w:t>根据《公共文化服务保障法》、《中华人民共和国公共图书馆法》的要求，加强图书馆的服务效能建设，而图书馆近年藏书量有较大提升，在纸质资源建设上有了初步的基础，随着馆藏的提升，图书馆也一直在适时的根据读者需求提升相应的服务，最大限度的提升服务效能，当图书馆闭馆及人员非工作时间段，无法提供基础服务。而无人值守微型图书馆为我馆弥补了服务的短板。为此，需购置</w:t>
            </w:r>
            <w:r>
              <w:rPr>
                <w:rFonts w:ascii="方正书宋_GBK" w:eastAsia="方正书宋_GBK"/>
              </w:rPr>
              <w:t>24</w:t>
            </w:r>
            <w:r>
              <w:rPr>
                <w:rFonts w:hint="eastAsia" w:ascii="方正书宋_GBK" w:eastAsia="方正书宋_GBK"/>
              </w:rPr>
              <w:t>小时无人值守微型图书馆，共需资金</w:t>
            </w:r>
            <w:r>
              <w:rPr>
                <w:rFonts w:ascii="方正书宋_GBK" w:eastAsia="方正书宋_GBK"/>
              </w:rPr>
              <w:t>9</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5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41" w:type="dxa"/>
            <w:gridSpan w:val="2"/>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75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141"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完成设备采购</w:t>
            </w:r>
            <w:r>
              <w:rPr>
                <w:rFonts w:ascii="方正书宋_GBK" w:eastAsia="方正书宋_GBK"/>
              </w:rPr>
              <w:t>2.</w:t>
            </w:r>
            <w:r>
              <w:rPr>
                <w:rFonts w:hint="eastAsia" w:ascii="方正书宋_GBK" w:eastAsia="方正书宋_GBK"/>
              </w:rPr>
              <w:t>最大限度的提升服务效能</w:t>
            </w:r>
            <w:r>
              <w:rPr>
                <w:rFonts w:ascii="方正书宋_GBK" w:eastAsia="方正书宋_GBK"/>
              </w:rPr>
              <w:t>3.</w:t>
            </w:r>
            <w:r>
              <w:rPr>
                <w:rFonts w:hint="eastAsia" w:ascii="方正书宋_GBK" w:eastAsia="方正书宋_GBK"/>
              </w:rPr>
              <w:t>资金及时支出</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79"/>
        <w:gridCol w:w="1276"/>
        <w:gridCol w:w="2891"/>
        <w:gridCol w:w="1566"/>
        <w:gridCol w:w="1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5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79"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1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79"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566" w:type="dxa"/>
            <w:noWrap w:val="0"/>
            <w:vAlign w:val="center"/>
          </w:tcPr>
          <w:p>
            <w:pPr>
              <w:spacing w:line="300" w:lineRule="exact"/>
              <w:jc w:val="left"/>
              <w:rPr>
                <w:rFonts w:ascii="方正书宋_GBK" w:eastAsia="方正书宋_GBK"/>
              </w:rPr>
            </w:pPr>
            <w:r>
              <w:rPr>
                <w:rFonts w:ascii="方正书宋_GBK" w:eastAsia="方正书宋_GBK"/>
              </w:rPr>
              <w:t>&gt;30000</w:t>
            </w:r>
            <w:r>
              <w:rPr>
                <w:rFonts w:hint="eastAsia" w:ascii="方正书宋_GBK" w:eastAsia="方正书宋_GBK"/>
              </w:rPr>
              <w:t>服务读者人数</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平台故障率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减少设备故障率</w:t>
            </w:r>
          </w:p>
        </w:tc>
        <w:tc>
          <w:tcPr>
            <w:tcW w:w="1566" w:type="dxa"/>
            <w:noWrap w:val="0"/>
            <w:vAlign w:val="center"/>
          </w:tcPr>
          <w:p>
            <w:pPr>
              <w:spacing w:line="300" w:lineRule="exact"/>
              <w:jc w:val="left"/>
              <w:rPr>
                <w:rFonts w:ascii="方正书宋_GBK" w:eastAsia="方正书宋_GBK"/>
              </w:rPr>
            </w:pPr>
            <w:r>
              <w:rPr>
                <w:rFonts w:hint="eastAsia" w:ascii="方正书宋_GBK" w:eastAsia="方正书宋_GBK"/>
              </w:rPr>
              <w:t>减少设备故障率</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及时有效完成预算项目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及时有效完成预算项目</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设备采购安装调试</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中标价格不超过预算金额</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　中标价格不超过预算金额</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保证工作正常进行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保证工作正常进行</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读者对服务的满意度</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读者对服务的满意度</w:t>
            </w:r>
          </w:p>
        </w:tc>
        <w:tc>
          <w:tcPr>
            <w:tcW w:w="1411"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0" w:firstLineChars="200"/>
        <w:jc w:val="left"/>
        <w:outlineLvl w:val="3"/>
        <w:rPr>
          <w:rFonts w:hAnsi="宋体"/>
          <w:b/>
          <w:sz w:val="28"/>
        </w:rPr>
      </w:pPr>
      <w:bookmarkStart w:id="10" w:name="_Toc65057180"/>
      <w:r>
        <w:rPr>
          <w:rFonts w:hint="eastAsia" w:ascii="方正仿宋_GBK" w:eastAsia="方正仿宋_GBK"/>
          <w:b/>
          <w:sz w:val="28"/>
          <w:lang w:val="en-US" w:eastAsia="zh-CN"/>
        </w:rPr>
        <w:t>6</w:t>
      </w:r>
      <w:r>
        <w:rPr>
          <w:rFonts w:hint="eastAsia" w:ascii="方正仿宋_GBK" w:eastAsia="方正仿宋_GBK"/>
          <w:b/>
          <w:sz w:val="28"/>
        </w:rPr>
        <w:t>.运转经费绩效目标表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940"/>
        <w:gridCol w:w="951"/>
        <w:gridCol w:w="1276"/>
        <w:gridCol w:w="2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207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13020921YS4GQCECKR5EE</w:t>
            </w:r>
          </w:p>
        </w:tc>
        <w:tc>
          <w:tcPr>
            <w:tcW w:w="194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98" w:type="dxa"/>
            <w:gridSpan w:val="3"/>
            <w:noWrap w:val="0"/>
            <w:vAlign w:val="center"/>
          </w:tcPr>
          <w:p>
            <w:pPr>
              <w:spacing w:line="300" w:lineRule="exact"/>
              <w:jc w:val="left"/>
              <w:rPr>
                <w:rFonts w:ascii="方正书宋_GBK" w:eastAsia="方正书宋_GBK"/>
              </w:rPr>
            </w:pPr>
            <w:r>
              <w:rPr>
                <w:rFonts w:hint="eastAsia" w:ascii="方正书宋_GBK" w:eastAsia="方正书宋_GBK"/>
              </w:rPr>
              <w:t>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26.30</w:t>
            </w:r>
          </w:p>
        </w:tc>
        <w:tc>
          <w:tcPr>
            <w:tcW w:w="1940"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951" w:type="dxa"/>
            <w:noWrap w:val="0"/>
            <w:vAlign w:val="center"/>
          </w:tcPr>
          <w:p>
            <w:pPr>
              <w:spacing w:line="300" w:lineRule="exact"/>
              <w:jc w:val="left"/>
              <w:rPr>
                <w:rFonts w:ascii="方正书宋_GBK" w:eastAsia="方正书宋_GBK"/>
              </w:rPr>
            </w:pPr>
            <w:r>
              <w:rPr>
                <w:rFonts w:ascii="方正书宋_GBK" w:eastAsia="方正书宋_GBK"/>
              </w:rPr>
              <w:t>26.30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07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648"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根据《中华人民共和国公共文化服务保障法》、《中华人民共和国公共图书馆法》的要求，公共图书馆免费开放时间每周必须达到</w:t>
            </w:r>
            <w:r>
              <w:rPr>
                <w:rFonts w:ascii="方正书宋_GBK" w:eastAsia="方正书宋_GBK"/>
              </w:rPr>
              <w:t>56</w:t>
            </w:r>
            <w:r>
              <w:rPr>
                <w:rFonts w:hint="eastAsia" w:ascii="方正书宋_GBK" w:eastAsia="方正书宋_GBK"/>
              </w:rPr>
              <w:t>小时以上，并实行错时开放，公休日、节假日应当开放。每年新增图书藏量又不断增加，再加上</w:t>
            </w:r>
            <w:r>
              <w:rPr>
                <w:rFonts w:ascii="方正书宋_GBK" w:eastAsia="方正书宋_GBK"/>
              </w:rPr>
              <w:t>2020</w:t>
            </w:r>
            <w:r>
              <w:rPr>
                <w:rFonts w:hint="eastAsia" w:ascii="方正书宋_GBK" w:eastAsia="方正书宋_GBK"/>
              </w:rPr>
              <w:t>年新建数字体验区和幼儿绘本馆急需面向读者开放，新购图书馆流动服务车需下基层服务，图书馆工作量逐年增大。为此，每年需运转经费</w:t>
            </w:r>
            <w:r>
              <w:rPr>
                <w:rFonts w:ascii="方正书宋_GBK" w:eastAsia="方正书宋_GBK"/>
              </w:rPr>
              <w:t>26.3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951"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4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94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951"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334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64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资金拨付后支付</w:t>
            </w:r>
            <w:r>
              <w:rPr>
                <w:rFonts w:ascii="方正书宋_GBK" w:eastAsia="方正书宋_GBK"/>
              </w:rPr>
              <w:t>2.</w:t>
            </w:r>
            <w:r>
              <w:rPr>
                <w:rFonts w:hint="eastAsia" w:ascii="方正书宋_GBK" w:eastAsia="方正书宋_GBK"/>
              </w:rPr>
              <w:t>下基层服务读者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免费开放时间每周必须达到</w:t>
            </w:r>
            <w:r>
              <w:rPr>
                <w:rFonts w:ascii="方正书宋_GBK" w:eastAsia="方正书宋_GBK"/>
              </w:rPr>
              <w:t>56</w:t>
            </w:r>
            <w:r>
              <w:rPr>
                <w:rFonts w:hint="eastAsia" w:ascii="方正书宋_GBK" w:eastAsia="方正书宋_GBK"/>
              </w:rPr>
              <w:t>小时以上，并实行错时开放，公休日、节假日应当开放</w:t>
            </w:r>
          </w:p>
        </w:tc>
      </w:tr>
    </w:tbl>
    <w:p>
      <w:pPr>
        <w:spacing w:line="14" w:lineRule="exact"/>
        <w:jc w:val="center"/>
        <w:rPr>
          <w:rFonts w:hAnsi="宋体"/>
        </w:rPr>
      </w:pPr>
      <w:r>
        <w:rPr>
          <w:rFonts w:ascii="方正书宋_GBK" w:eastAsia="方正书宋_GBK"/>
        </w:rPr>
        <w:t xml:space="preserve"> </w:t>
      </w:r>
    </w:p>
    <w:tbl>
      <w:tblPr>
        <w:tblStyle w:val="7"/>
        <w:tblW w:w="9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278"/>
        <w:gridCol w:w="1276"/>
        <w:gridCol w:w="2891"/>
        <w:gridCol w:w="1515"/>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0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7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1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4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7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全员覆盖</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是否按工资表发放</w:t>
            </w:r>
          </w:p>
        </w:tc>
        <w:tc>
          <w:tcPr>
            <w:tcW w:w="1515" w:type="dxa"/>
            <w:noWrap w:val="0"/>
            <w:vAlign w:val="center"/>
          </w:tcPr>
          <w:p>
            <w:pPr>
              <w:spacing w:line="300" w:lineRule="exact"/>
              <w:jc w:val="left"/>
              <w:rPr>
                <w:rFonts w:ascii="方正书宋_GBK" w:eastAsia="方正书宋_GBK"/>
              </w:rPr>
            </w:pPr>
            <w:r>
              <w:rPr>
                <w:rFonts w:hint="eastAsia" w:ascii="方正书宋_GBK" w:eastAsia="方正书宋_GBK"/>
              </w:rPr>
              <w:t>是否按工资表发放</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高质量服务读者</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按月及时发放</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每月按时发放工资及缴纳保险</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每月按时发放工资及缴纳保险</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购买服务人员费用实际支出资金</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购买服务人员费用实际支出资金</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实现数字化，提高工作效率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实现数字化，提高工作效</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实现数字化，提高工作效</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提供优质服务</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降低单位能耗，提升能源开发能力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提升稀缺资源勘查、洁净能源开发能力</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降低单位能耗</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持续发展作用力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持续发展作用力</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读者满意度</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读者满意度</w:t>
            </w:r>
          </w:p>
        </w:tc>
        <w:tc>
          <w:tcPr>
            <w:tcW w:w="1644"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autoSpaceDE w:val="0"/>
        <w:autoSpaceDN w:val="0"/>
        <w:adjustRightInd w:val="0"/>
        <w:ind w:firstLine="320" w:firstLineChars="100"/>
        <w:jc w:val="left"/>
        <w:rPr>
          <w:rFonts w:ascii="黑体" w:hAnsi="Calibri" w:eastAsia="黑体" w:cs="黑体"/>
          <w:kern w:val="0"/>
          <w:sz w:val="32"/>
          <w:szCs w:val="32"/>
          <w:lang w:val="zh-CN"/>
        </w:rPr>
      </w:pPr>
      <w:r>
        <w:rPr>
          <w:rFonts w:hint="eastAsia" w:ascii="黑体" w:hAnsi="Calibri" w:eastAsia="黑体" w:cs="黑体"/>
          <w:kern w:val="0"/>
          <w:sz w:val="32"/>
          <w:szCs w:val="32"/>
          <w:lang w:val="zh-CN"/>
        </w:rPr>
        <w:t>六、政府采购预算情况</w:t>
      </w:r>
    </w:p>
    <w:p>
      <w:pPr>
        <w:autoSpaceDE w:val="0"/>
        <w:autoSpaceDN w:val="0"/>
        <w:adjustRightInd w:val="0"/>
        <w:rPr>
          <w:rFonts w:hint="eastAsia" w:ascii="宋体" w:cs="宋体"/>
          <w:kern w:val="0"/>
          <w:sz w:val="32"/>
          <w:szCs w:val="32"/>
          <w:lang w:val="zh-CN"/>
        </w:rPr>
      </w:pPr>
      <w:r>
        <w:rPr>
          <w:rFonts w:eastAsia="黑体"/>
          <w:kern w:val="0"/>
          <w:sz w:val="32"/>
          <w:szCs w:val="32"/>
        </w:rPr>
        <w:t xml:space="preserve">  </w:t>
      </w:r>
      <w:r>
        <w:rPr>
          <w:rFonts w:hint="eastAsia" w:eastAsia="黑体"/>
          <w:kern w:val="0"/>
          <w:sz w:val="32"/>
          <w:szCs w:val="32"/>
          <w:lang w:val="en-US" w:eastAsia="zh-CN"/>
        </w:rPr>
        <w:t>2021</w:t>
      </w:r>
      <w:r>
        <w:rPr>
          <w:rFonts w:hint="eastAsia" w:ascii="宋体" w:cs="宋体"/>
          <w:kern w:val="0"/>
          <w:sz w:val="32"/>
          <w:szCs w:val="32"/>
          <w:lang w:val="zh-CN"/>
        </w:rPr>
        <w:t>年，安排政府采购预算</w:t>
      </w:r>
      <w:r>
        <w:rPr>
          <w:rFonts w:hint="eastAsia" w:ascii="宋体" w:cs="宋体"/>
          <w:kern w:val="0"/>
          <w:sz w:val="32"/>
          <w:szCs w:val="32"/>
          <w:lang w:val="en-US" w:eastAsia="zh-CN"/>
        </w:rPr>
        <w:t>54.8</w:t>
      </w:r>
      <w:r>
        <w:rPr>
          <w:rFonts w:hint="eastAsia" w:ascii="宋体" w:cs="宋体"/>
          <w:kern w:val="0"/>
          <w:sz w:val="32"/>
          <w:szCs w:val="32"/>
          <w:lang w:val="zh-CN"/>
        </w:rPr>
        <w:t>万元。具体内容见下表。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部门政府采购预算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1008"/>
        <w:gridCol w:w="103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0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357</w:t>
            </w:r>
            <w:r>
              <w:rPr>
                <w:rFonts w:hint="eastAsia" w:ascii="方正小标宋_GBK" w:eastAsia="方正小标宋_GBK"/>
                <w:sz w:val="24"/>
                <w:lang w:val="en-US" w:eastAsia="zh-CN"/>
              </w:rPr>
              <w:t>003 唐山市曹妃甸区图书馆</w:t>
            </w:r>
          </w:p>
        </w:tc>
        <w:tc>
          <w:tcPr>
            <w:tcW w:w="6703"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0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703"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0"/>
              <w:rPr>
                <w:rFonts w:eastAsia="方正仿宋_GBK"/>
                <w:sz w:val="28"/>
              </w:rPr>
            </w:pPr>
          </w:p>
        </w:tc>
        <w:tc>
          <w:tcPr>
            <w:tcW w:w="1531" w:type="dxa"/>
            <w:vMerge w:val="continue"/>
            <w:noWrap w:val="0"/>
            <w:vAlign w:val="center"/>
          </w:tcPr>
          <w:p>
            <w:pPr>
              <w:spacing w:line="300" w:lineRule="exact"/>
              <w:jc w:val="left"/>
              <w:outlineLvl w:val="0"/>
              <w:rPr>
                <w:rFonts w:eastAsia="方正仿宋_GBK"/>
                <w:sz w:val="28"/>
              </w:rPr>
            </w:pPr>
          </w:p>
        </w:tc>
        <w:tc>
          <w:tcPr>
            <w:tcW w:w="709"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1008" w:type="dxa"/>
            <w:vMerge w:val="continue"/>
            <w:noWrap w:val="0"/>
            <w:vAlign w:val="center"/>
          </w:tcPr>
          <w:p>
            <w:pPr>
              <w:spacing w:line="300" w:lineRule="exact"/>
              <w:jc w:val="left"/>
              <w:outlineLvl w:val="0"/>
              <w:rPr>
                <w:rFonts w:eastAsia="方正仿宋_GBK"/>
                <w:sz w:val="28"/>
              </w:rPr>
            </w:pPr>
          </w:p>
        </w:tc>
        <w:tc>
          <w:tcPr>
            <w:tcW w:w="103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54.80</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54.80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color w:val="auto"/>
                <w:highlight w:val="none"/>
              </w:rPr>
            </w:pPr>
            <w:r>
              <w:rPr>
                <w:rFonts w:hint="eastAsia" w:ascii="方正书宋_GBK" w:eastAsia="方正书宋_GBK"/>
                <w:b/>
                <w:color w:val="auto"/>
                <w:highlight w:val="none"/>
              </w:rPr>
              <w:t>曹妃甸区图书馆小计</w:t>
            </w:r>
          </w:p>
        </w:tc>
        <w:tc>
          <w:tcPr>
            <w:tcW w:w="1134" w:type="dxa"/>
            <w:noWrap w:val="0"/>
            <w:vAlign w:val="center"/>
          </w:tcPr>
          <w:p>
            <w:pPr>
              <w:spacing w:line="300" w:lineRule="exact"/>
              <w:jc w:val="right"/>
              <w:rPr>
                <w:rFonts w:ascii="方正书宋_GBK" w:eastAsia="方正书宋_GBK"/>
                <w:b/>
                <w:color w:val="auto"/>
                <w:highlight w:val="none"/>
              </w:rPr>
            </w:pPr>
          </w:p>
        </w:tc>
        <w:tc>
          <w:tcPr>
            <w:tcW w:w="1531" w:type="dxa"/>
            <w:noWrap w:val="0"/>
            <w:vAlign w:val="center"/>
          </w:tcPr>
          <w:p>
            <w:pPr>
              <w:spacing w:line="300" w:lineRule="exact"/>
              <w:jc w:val="left"/>
              <w:rPr>
                <w:rFonts w:hint="eastAsia" w:ascii="方正书宋_GBK" w:eastAsia="方正书宋_GBK"/>
                <w:b/>
                <w:color w:val="auto"/>
                <w:highlight w:val="none"/>
              </w:rPr>
            </w:pPr>
          </w:p>
        </w:tc>
        <w:tc>
          <w:tcPr>
            <w:tcW w:w="1531" w:type="dxa"/>
            <w:noWrap w:val="0"/>
            <w:vAlign w:val="center"/>
          </w:tcPr>
          <w:p>
            <w:pPr>
              <w:spacing w:line="300" w:lineRule="exact"/>
              <w:jc w:val="left"/>
              <w:rPr>
                <w:rFonts w:ascii="方正书宋_GBK" w:eastAsia="方正书宋_GBK"/>
                <w:b/>
                <w:color w:val="auto"/>
                <w:highlight w:val="none"/>
              </w:rPr>
            </w:pPr>
          </w:p>
        </w:tc>
        <w:tc>
          <w:tcPr>
            <w:tcW w:w="709" w:type="dxa"/>
            <w:noWrap w:val="0"/>
            <w:vAlign w:val="center"/>
          </w:tcPr>
          <w:p>
            <w:pPr>
              <w:spacing w:line="300" w:lineRule="exact"/>
              <w:jc w:val="center"/>
              <w:rPr>
                <w:rFonts w:hint="eastAsia" w:ascii="方正书宋_GBK" w:eastAsia="方正书宋_GBK"/>
                <w:b/>
                <w:color w:val="auto"/>
                <w:highlight w:val="none"/>
              </w:rPr>
            </w:pPr>
          </w:p>
        </w:tc>
        <w:tc>
          <w:tcPr>
            <w:tcW w:w="907" w:type="dxa"/>
            <w:noWrap w:val="0"/>
            <w:vAlign w:val="center"/>
          </w:tcPr>
          <w:p>
            <w:pPr>
              <w:spacing w:line="300" w:lineRule="exact"/>
              <w:jc w:val="right"/>
              <w:rPr>
                <w:rFonts w:ascii="方正书宋_GBK" w:eastAsia="方正书宋_GBK"/>
                <w:b/>
                <w:color w:val="auto"/>
                <w:highlight w:val="none"/>
              </w:rPr>
            </w:pPr>
          </w:p>
        </w:tc>
        <w:tc>
          <w:tcPr>
            <w:tcW w:w="1008" w:type="dxa"/>
            <w:noWrap w:val="0"/>
            <w:vAlign w:val="center"/>
          </w:tcPr>
          <w:p>
            <w:pPr>
              <w:spacing w:line="300" w:lineRule="exact"/>
              <w:jc w:val="right"/>
              <w:rPr>
                <w:rFonts w:ascii="方正书宋_GBK" w:eastAsia="方正书宋_GBK"/>
                <w:b/>
                <w:color w:val="auto"/>
                <w:highlight w:val="none"/>
              </w:rPr>
            </w:pPr>
          </w:p>
        </w:tc>
        <w:tc>
          <w:tcPr>
            <w:tcW w:w="1033" w:type="dxa"/>
            <w:noWrap w:val="0"/>
            <w:vAlign w:val="center"/>
          </w:tcPr>
          <w:p>
            <w:pPr>
              <w:spacing w:line="300" w:lineRule="exact"/>
              <w:jc w:val="right"/>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54.80</w:t>
            </w:r>
          </w:p>
        </w:tc>
        <w:tc>
          <w:tcPr>
            <w:tcW w:w="1134" w:type="dxa"/>
            <w:noWrap w:val="0"/>
            <w:vAlign w:val="center"/>
          </w:tcPr>
          <w:p>
            <w:pPr>
              <w:spacing w:line="300" w:lineRule="exact"/>
              <w:jc w:val="right"/>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54.80</w:t>
            </w:r>
          </w:p>
        </w:tc>
        <w:tc>
          <w:tcPr>
            <w:tcW w:w="1134" w:type="dxa"/>
            <w:noWrap w:val="0"/>
            <w:vAlign w:val="center"/>
          </w:tcPr>
          <w:p>
            <w:pPr>
              <w:spacing w:line="300" w:lineRule="exact"/>
              <w:jc w:val="right"/>
              <w:rPr>
                <w:rFonts w:ascii="方正书宋_GBK" w:eastAsia="方正书宋_GBK"/>
                <w:b/>
                <w:color w:val="auto"/>
                <w:highlight w:val="none"/>
              </w:rPr>
            </w:pPr>
          </w:p>
        </w:tc>
        <w:tc>
          <w:tcPr>
            <w:tcW w:w="1134" w:type="dxa"/>
            <w:noWrap w:val="0"/>
            <w:vAlign w:val="center"/>
          </w:tcPr>
          <w:p>
            <w:pPr>
              <w:spacing w:line="300" w:lineRule="exact"/>
              <w:jc w:val="right"/>
              <w:rPr>
                <w:rFonts w:ascii="方正书宋_GBK" w:eastAsia="方正书宋_GBK"/>
                <w:b/>
                <w:color w:val="auto"/>
                <w:highlight w:val="red"/>
              </w:rPr>
            </w:pPr>
          </w:p>
        </w:tc>
        <w:tc>
          <w:tcPr>
            <w:tcW w:w="1134" w:type="dxa"/>
            <w:noWrap w:val="0"/>
            <w:vAlign w:val="center"/>
          </w:tcPr>
          <w:p>
            <w:pPr>
              <w:spacing w:line="300" w:lineRule="exact"/>
              <w:jc w:val="right"/>
              <w:rPr>
                <w:rFonts w:ascii="方正书宋_GBK" w:eastAsia="方正书宋_GBK"/>
                <w:b/>
                <w:color w:val="auto"/>
                <w:highlight w:val="red"/>
              </w:rPr>
            </w:pPr>
          </w:p>
        </w:tc>
        <w:tc>
          <w:tcPr>
            <w:tcW w:w="1134" w:type="dxa"/>
            <w:noWrap w:val="0"/>
            <w:vAlign w:val="center"/>
          </w:tcPr>
          <w:p>
            <w:pPr>
              <w:spacing w:line="300" w:lineRule="exact"/>
              <w:jc w:val="right"/>
              <w:rPr>
                <w:rFonts w:ascii="方正书宋_GBK" w:eastAsia="方正书宋_GBK"/>
                <w:b/>
                <w:color w:val="auto"/>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每年新增藏量购书经费</w:t>
            </w:r>
          </w:p>
        </w:tc>
        <w:tc>
          <w:tcPr>
            <w:tcW w:w="1134"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531"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书籍、课本</w:t>
            </w:r>
          </w:p>
        </w:tc>
        <w:tc>
          <w:tcPr>
            <w:tcW w:w="1531"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A05010101</w:t>
            </w:r>
          </w:p>
        </w:tc>
        <w:tc>
          <w:tcPr>
            <w:tcW w:w="709"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册</w:t>
            </w:r>
          </w:p>
        </w:tc>
        <w:tc>
          <w:tcPr>
            <w:tcW w:w="907" w:type="dxa"/>
            <w:noWrap w:val="0"/>
            <w:vAlign w:val="center"/>
          </w:tcPr>
          <w:p>
            <w:pPr>
              <w:spacing w:line="300" w:lineRule="exact"/>
              <w:jc w:val="right"/>
              <w:rPr>
                <w:rFonts w:ascii="方正书宋_GBK" w:eastAsia="方正书宋_GBK"/>
                <w:color w:val="auto"/>
                <w:highlight w:val="none"/>
              </w:rPr>
            </w:pPr>
            <w:r>
              <w:rPr>
                <w:rFonts w:hint="eastAsia" w:ascii="方正书宋_GBK" w:eastAsia="方正书宋_GBK"/>
                <w:color w:val="auto"/>
                <w:highlight w:val="none"/>
                <w:lang w:val="en-US" w:eastAsia="zh-CN"/>
              </w:rPr>
              <w:t>5480</w:t>
            </w:r>
            <w:r>
              <w:rPr>
                <w:rFonts w:ascii="方正书宋_GBK" w:eastAsia="方正书宋_GBK"/>
                <w:color w:val="auto"/>
                <w:highlight w:val="none"/>
              </w:rPr>
              <w:t>.00</w:t>
            </w:r>
          </w:p>
        </w:tc>
        <w:tc>
          <w:tcPr>
            <w:tcW w:w="1008" w:type="dxa"/>
            <w:noWrap w:val="0"/>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0.01</w:t>
            </w:r>
          </w:p>
        </w:tc>
        <w:tc>
          <w:tcPr>
            <w:tcW w:w="1033"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134"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134" w:type="dxa"/>
            <w:noWrap w:val="0"/>
            <w:vAlign w:val="center"/>
          </w:tcPr>
          <w:p>
            <w:pPr>
              <w:spacing w:line="300" w:lineRule="exact"/>
              <w:jc w:val="right"/>
              <w:rPr>
                <w:rFonts w:ascii="方正书宋_GBK" w:eastAsia="方正书宋_GBK"/>
                <w:color w:val="auto"/>
                <w:highlight w:val="none"/>
              </w:rPr>
            </w:pPr>
          </w:p>
        </w:tc>
        <w:tc>
          <w:tcPr>
            <w:tcW w:w="1134" w:type="dxa"/>
            <w:noWrap w:val="0"/>
            <w:vAlign w:val="center"/>
          </w:tcPr>
          <w:p>
            <w:pPr>
              <w:spacing w:line="300" w:lineRule="exact"/>
              <w:jc w:val="right"/>
              <w:rPr>
                <w:rFonts w:ascii="方正书宋_GBK" w:eastAsia="方正书宋_GBK"/>
                <w:color w:val="auto"/>
                <w:highlight w:val="red"/>
              </w:rPr>
            </w:pPr>
          </w:p>
        </w:tc>
        <w:tc>
          <w:tcPr>
            <w:tcW w:w="1134" w:type="dxa"/>
            <w:noWrap w:val="0"/>
            <w:vAlign w:val="center"/>
          </w:tcPr>
          <w:p>
            <w:pPr>
              <w:spacing w:line="300" w:lineRule="exact"/>
              <w:jc w:val="right"/>
              <w:rPr>
                <w:rFonts w:ascii="方正书宋_GBK" w:eastAsia="方正书宋_GBK"/>
                <w:color w:val="auto"/>
                <w:highlight w:val="red"/>
              </w:rPr>
            </w:pPr>
          </w:p>
        </w:tc>
        <w:tc>
          <w:tcPr>
            <w:tcW w:w="1134" w:type="dxa"/>
            <w:noWrap w:val="0"/>
            <w:vAlign w:val="center"/>
          </w:tcPr>
          <w:p>
            <w:pPr>
              <w:spacing w:line="300" w:lineRule="exact"/>
              <w:jc w:val="right"/>
              <w:rPr>
                <w:rFonts w:ascii="方正书宋_GBK" w:eastAsia="方正书宋_GBK"/>
                <w:color w:val="auto"/>
                <w:highlight w:val="red"/>
              </w:rPr>
            </w:pPr>
          </w:p>
        </w:tc>
      </w:tr>
    </w:tbl>
    <w:p>
      <w:pPr>
        <w:spacing w:line="300" w:lineRule="exact"/>
        <w:jc w:val="left"/>
        <w:outlineLvl w:val="0"/>
        <w:rPr>
          <w:rFonts w:hint="eastAsia" w:ascii="方正小标宋_GBK" w:eastAsia="方正小标宋_GBK"/>
          <w:sz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ascii="黑体" w:hAnsi="Calibri" w:eastAsia="黑体" w:cs="黑体"/>
          <w:kern w:val="0"/>
          <w:sz w:val="32"/>
          <w:szCs w:val="32"/>
          <w:lang w:val="zh-CN"/>
        </w:rPr>
      </w:pPr>
      <w:r>
        <w:rPr>
          <w:rFonts w:hint="eastAsia" w:ascii="黑体" w:hAnsi="Calibri" w:eastAsia="黑体" w:cs="黑体"/>
          <w:kern w:val="0"/>
          <w:sz w:val="32"/>
          <w:szCs w:val="32"/>
          <w:lang w:val="zh-CN"/>
        </w:rPr>
        <w:t>七、国有资产信息</w:t>
      </w:r>
    </w:p>
    <w:p>
      <w:pPr>
        <w:keepNext w:val="0"/>
        <w:keepLines w:val="0"/>
        <w:pageBreakBefore w:val="0"/>
        <w:widowControl w:val="0"/>
        <w:kinsoku/>
        <w:wordWrap/>
        <w:overflowPunct/>
        <w:topLinePunct w:val="0"/>
        <w:bidi w:val="0"/>
        <w:snapToGrid/>
        <w:spacing w:line="360" w:lineRule="auto"/>
        <w:ind w:firstLine="640"/>
        <w:textAlignment w:val="auto"/>
        <w:rPr>
          <w:rFonts w:ascii="??_GB2312" w:hAnsi="??_GB2312" w:cs="??_GB2312"/>
          <w:color w:val="FF0000"/>
          <w:kern w:val="0"/>
          <w:sz w:val="32"/>
          <w:szCs w:val="32"/>
        </w:rPr>
      </w:pPr>
      <w:r>
        <w:rPr>
          <w:rFonts w:hint="eastAsia" w:ascii="仿宋" w:hAnsi="仿宋" w:eastAsia="仿宋" w:cs="仿宋"/>
          <w:color w:val="222222"/>
          <w:sz w:val="32"/>
          <w:szCs w:val="32"/>
          <w:shd w:val="clear" w:color="auto" w:fill="FFFFFF"/>
        </w:rPr>
        <w:t>2020年末固定资产金额为</w:t>
      </w:r>
      <w:r>
        <w:rPr>
          <w:rFonts w:hint="eastAsia" w:ascii="仿宋" w:hAnsi="仿宋" w:eastAsia="仿宋" w:cs="仿宋"/>
          <w:color w:val="222222"/>
          <w:sz w:val="32"/>
          <w:szCs w:val="32"/>
          <w:shd w:val="clear" w:color="auto" w:fill="FFFFFF"/>
          <w:lang w:val="en-US" w:eastAsia="zh-CN"/>
        </w:rPr>
        <w:t>741.81</w:t>
      </w:r>
      <w:r>
        <w:rPr>
          <w:rFonts w:hint="eastAsia" w:ascii="仿宋" w:hAnsi="仿宋" w:eastAsia="仿宋" w:cs="仿宋"/>
          <w:color w:val="222222"/>
          <w:sz w:val="32"/>
          <w:szCs w:val="32"/>
          <w:shd w:val="clear" w:color="auto" w:fill="FFFFFF"/>
        </w:rPr>
        <w:t>万元（详见下表），累计折旧</w:t>
      </w:r>
      <w:r>
        <w:rPr>
          <w:rFonts w:hint="eastAsia" w:ascii="仿宋" w:hAnsi="仿宋" w:eastAsia="仿宋" w:cs="仿宋"/>
          <w:color w:val="222222"/>
          <w:sz w:val="32"/>
          <w:szCs w:val="32"/>
          <w:shd w:val="clear" w:color="auto" w:fill="FFFFFF"/>
          <w:lang w:val="en-US" w:eastAsia="zh-CN"/>
        </w:rPr>
        <w:t>161.04</w:t>
      </w:r>
      <w:r>
        <w:rPr>
          <w:rFonts w:hint="eastAsia" w:ascii="仿宋" w:hAnsi="仿宋" w:eastAsia="仿宋" w:cs="仿宋"/>
          <w:color w:val="222222"/>
          <w:sz w:val="32"/>
          <w:szCs w:val="32"/>
          <w:shd w:val="clear" w:color="auto" w:fill="FFFFFF"/>
        </w:rPr>
        <w:t>万</w:t>
      </w:r>
      <w:r>
        <w:rPr>
          <w:rFonts w:hint="eastAsia" w:ascii="仿宋" w:hAnsi="仿宋" w:eastAsia="仿宋" w:cs="仿宋"/>
          <w:color w:val="222222"/>
          <w:sz w:val="32"/>
          <w:szCs w:val="32"/>
          <w:shd w:val="clear" w:color="auto" w:fill="FFFFFF"/>
          <w:lang w:val="en-US" w:eastAsia="zh-CN"/>
        </w:rPr>
        <w:t>元</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均为20万以下设备。</w:t>
      </w:r>
    </w:p>
    <w:tbl>
      <w:tblPr>
        <w:tblStyle w:val="7"/>
        <w:tblW w:w="0" w:type="auto"/>
        <w:tblInd w:w="201"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70" w:hRule="atLeast"/>
        </w:trPr>
        <w:tc>
          <w:tcPr>
            <w:tcW w:w="13482" w:type="dxa"/>
            <w:gridSpan w:val="3"/>
            <w:tcBorders>
              <w:top w:val="nil"/>
              <w:left w:val="nil"/>
              <w:bottom w:val="nil"/>
              <w:right w:val="nil"/>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32"/>
                <w:szCs w:val="32"/>
                <w:lang w:val="zh-CN"/>
              </w:rPr>
              <w:t>唐山市曹妃甸区</w:t>
            </w:r>
            <w:r>
              <w:rPr>
                <w:rFonts w:hint="eastAsia" w:ascii="宋体" w:hAnsi="??_GB2312" w:cs="宋体"/>
                <w:b/>
                <w:bCs/>
                <w:kern w:val="0"/>
                <w:sz w:val="32"/>
                <w:szCs w:val="32"/>
                <w:lang w:val="en-US" w:eastAsia="zh-CN"/>
              </w:rPr>
              <w:t>图书馆</w:t>
            </w:r>
            <w:r>
              <w:rPr>
                <w:rFonts w:hint="eastAsia" w:ascii="宋体" w:hAnsi="??_GB2312" w:cs="宋体"/>
                <w:b/>
                <w:bCs/>
                <w:kern w:val="0"/>
                <w:sz w:val="32"/>
                <w:szCs w:val="32"/>
                <w:lang w:val="zh-CN"/>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000000" w:fill="FFFFFF"/>
            <w:noWrap w:val="0"/>
            <w:vAlign w:val="center"/>
          </w:tcPr>
          <w:p>
            <w:pPr>
              <w:autoSpaceDE w:val="0"/>
              <w:autoSpaceDN w:val="0"/>
              <w:adjustRightInd w:val="0"/>
              <w:jc w:val="left"/>
              <w:rPr>
                <w:rFonts w:hint="default" w:ascii="宋体" w:hAnsi="??_GB2312" w:eastAsia="宋体" w:cs="宋体"/>
                <w:kern w:val="0"/>
                <w:sz w:val="22"/>
                <w:szCs w:val="22"/>
                <w:lang w:val="en-US" w:eastAsia="zh-CN"/>
              </w:rPr>
            </w:pPr>
            <w:r>
              <w:rPr>
                <w:rFonts w:hint="eastAsia" w:ascii="宋体" w:hAnsi="??_GB2312" w:cs="宋体"/>
                <w:kern w:val="0"/>
                <w:sz w:val="22"/>
                <w:szCs w:val="22"/>
                <w:lang w:val="zh-CN"/>
              </w:rPr>
              <w:t>编制部门：</w:t>
            </w:r>
            <w:r>
              <w:rPr>
                <w:rFonts w:hint="eastAsia" w:ascii="宋体" w:hAnsi="??_GB2312" w:cs="宋体"/>
                <w:kern w:val="0"/>
                <w:sz w:val="22"/>
                <w:szCs w:val="22"/>
                <w:lang w:val="en-US" w:eastAsia="zh-CN"/>
              </w:rPr>
              <w:t>唐山市曹妃甸区图书馆</w:t>
            </w:r>
          </w:p>
        </w:tc>
        <w:tc>
          <w:tcPr>
            <w:tcW w:w="5103" w:type="dxa"/>
            <w:tcBorders>
              <w:top w:val="nil"/>
              <w:left w:val="nil"/>
              <w:bottom w:val="nil"/>
              <w:right w:val="nil"/>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hint="eastAsia" w:ascii="宋体" w:hAnsi="??_GB2312" w:cs="宋体"/>
                <w:kern w:val="0"/>
                <w:sz w:val="22"/>
                <w:szCs w:val="22"/>
                <w:lang w:val="zh-CN"/>
              </w:rPr>
              <w:t>截止时间：</w:t>
            </w:r>
            <w:r>
              <w:rPr>
                <w:rFonts w:ascii="宋体" w:hAnsi="??_GB2312" w:cs="宋体"/>
                <w:kern w:val="0"/>
                <w:sz w:val="22"/>
                <w:szCs w:val="22"/>
                <w:lang w:val="zh-CN"/>
              </w:rPr>
              <w:t>2</w:t>
            </w:r>
            <w:r>
              <w:rPr>
                <w:rFonts w:hint="eastAsia" w:ascii="宋体" w:hAnsi="??_GB2312" w:cs="宋体"/>
                <w:kern w:val="0"/>
                <w:sz w:val="22"/>
                <w:szCs w:val="22"/>
                <w:lang w:val="en-US" w:eastAsia="zh-CN"/>
              </w:rPr>
              <w:t>020</w:t>
            </w:r>
            <w:r>
              <w:rPr>
                <w:rFonts w:hint="eastAsia" w:ascii="宋体" w:hAnsi="??_GB2312" w:cs="宋体"/>
                <w:kern w:val="0"/>
                <w:sz w:val="22"/>
                <w:szCs w:val="22"/>
                <w:lang w:val="zh-CN"/>
              </w:rPr>
              <w:t>年</w:t>
            </w:r>
            <w:r>
              <w:rPr>
                <w:rFonts w:ascii="宋体" w:hAnsi="??_GB2312" w:cs="宋体"/>
                <w:kern w:val="0"/>
                <w:sz w:val="22"/>
                <w:szCs w:val="22"/>
                <w:lang w:val="zh-CN"/>
              </w:rPr>
              <w:t>12</w:t>
            </w:r>
            <w:r>
              <w:rPr>
                <w:rFonts w:hint="eastAsia" w:ascii="宋体" w:hAnsi="??_GB2312" w:cs="宋体"/>
                <w:kern w:val="0"/>
                <w:sz w:val="22"/>
                <w:szCs w:val="22"/>
                <w:lang w:val="zh-CN"/>
              </w:rPr>
              <w:t>月</w:t>
            </w:r>
            <w:r>
              <w:rPr>
                <w:rFonts w:ascii="宋体" w:hAnsi="??_GB2312" w:cs="宋体"/>
                <w:kern w:val="0"/>
                <w:sz w:val="22"/>
                <w:szCs w:val="22"/>
                <w:lang w:val="zh-CN"/>
              </w:rPr>
              <w:t>31</w:t>
            </w:r>
            <w:r>
              <w:rPr>
                <w:rFonts w:hint="eastAsia" w:ascii="宋体" w:hAnsi="??_GB2312" w:cs="宋体"/>
                <w:kern w:val="0"/>
                <w:sz w:val="22"/>
                <w:szCs w:val="22"/>
                <w:lang w:val="zh-CN"/>
              </w:rPr>
              <w:t>日</w:t>
            </w: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550" w:hRule="atLeast"/>
        </w:trPr>
        <w:tc>
          <w:tcPr>
            <w:tcW w:w="52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项</w:t>
            </w:r>
            <w:r>
              <w:rPr>
                <w:rFonts w:ascii="宋体" w:hAnsi="??_GB2312" w:cs="宋体"/>
                <w:b/>
                <w:bCs/>
                <w:kern w:val="0"/>
                <w:sz w:val="22"/>
                <w:szCs w:val="22"/>
                <w:lang w:val="zh-CN"/>
              </w:rPr>
              <w:t xml:space="preserve">   </w:t>
            </w:r>
            <w:r>
              <w:rPr>
                <w:rFonts w:hint="eastAsia" w:ascii="宋体" w:hAnsi="??_GB2312" w:cs="宋体"/>
                <w:b/>
                <w:bCs/>
                <w:kern w:val="0"/>
                <w:sz w:val="22"/>
                <w:szCs w:val="22"/>
                <w:lang w:val="zh-CN"/>
              </w:rPr>
              <w:t>目</w:t>
            </w:r>
          </w:p>
        </w:tc>
        <w:tc>
          <w:tcPr>
            <w:tcW w:w="3155"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数量</w:t>
            </w:r>
          </w:p>
        </w:tc>
        <w:tc>
          <w:tcPr>
            <w:tcW w:w="510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价值（金额单位：万元）</w:t>
            </w:r>
          </w:p>
        </w:tc>
      </w:tr>
      <w:tr>
        <w:tblPrEx>
          <w:tblCellMar>
            <w:top w:w="0" w:type="dxa"/>
            <w:left w:w="108" w:type="dxa"/>
            <w:bottom w:w="0" w:type="dxa"/>
            <w:right w:w="108" w:type="dxa"/>
          </w:tblCellMar>
        </w:tblPrEx>
        <w:trPr>
          <w:trHeight w:val="55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22"/>
                <w:szCs w:val="22"/>
                <w:lang w:val="zh-CN"/>
              </w:rPr>
              <w:t>资产总额</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741.81</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600"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hAnsi="??_GB2312" w:eastAsia="宋体" w:cs="宋体"/>
                <w:kern w:val="0"/>
                <w:sz w:val="22"/>
                <w:szCs w:val="22"/>
                <w:lang w:val="en-US" w:eastAsia="zh-CN"/>
              </w:rPr>
            </w:pPr>
            <w:r>
              <w:rPr>
                <w:rFonts w:hint="eastAsia" w:ascii="宋体" w:hAnsi="??_GB2312" w:cs="宋体"/>
                <w:kern w:val="0"/>
                <w:sz w:val="22"/>
                <w:szCs w:val="22"/>
                <w:lang w:val="en-US" w:eastAsia="zh-CN"/>
              </w:rPr>
              <w:t>0</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hAnsi="??_GB2312" w:eastAsia="宋体" w:cs="宋体"/>
                <w:kern w:val="0"/>
                <w:sz w:val="22"/>
                <w:szCs w:val="22"/>
                <w:lang w:val="en-US" w:eastAsia="zh-CN"/>
              </w:rPr>
            </w:pPr>
            <w:r>
              <w:rPr>
                <w:rFonts w:hint="eastAsia" w:ascii="宋体" w:hAnsi="??_GB2312" w:cs="宋体"/>
                <w:kern w:val="0"/>
                <w:sz w:val="22"/>
                <w:szCs w:val="22"/>
                <w:lang w:val="en-US" w:eastAsia="zh-CN"/>
              </w:rPr>
              <w:t>0</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0</w:t>
            </w:r>
          </w:p>
        </w:tc>
      </w:tr>
      <w:tr>
        <w:tblPrEx>
          <w:tblCellMar>
            <w:top w:w="0" w:type="dxa"/>
            <w:left w:w="108" w:type="dxa"/>
            <w:bottom w:w="0" w:type="dxa"/>
            <w:right w:w="108" w:type="dxa"/>
          </w:tblCellMar>
        </w:tblPrEx>
        <w:trPr>
          <w:trHeight w:val="560"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741.81</w:t>
            </w:r>
          </w:p>
        </w:tc>
      </w:tr>
    </w:tbl>
    <w:p>
      <w:pPr>
        <w:autoSpaceDE w:val="0"/>
        <w:autoSpaceDN w:val="0"/>
        <w:adjustRightInd w:val="0"/>
        <w:rPr>
          <w:rFonts w:ascii="??_GB2312" w:hAnsi="??_GB2312" w:cs="??_GB2312"/>
          <w:kern w:val="0"/>
          <w:sz w:val="32"/>
          <w:szCs w:val="32"/>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en-US" w:eastAsia="zh-CN"/>
        </w:rPr>
        <w:t>八、</w:t>
      </w:r>
      <w:r>
        <w:rPr>
          <w:rFonts w:hint="eastAsia" w:ascii="黑体" w:hAnsi="??_GB2312" w:eastAsia="黑体" w:cs="黑体"/>
          <w:kern w:val="0"/>
          <w:sz w:val="32"/>
          <w:szCs w:val="32"/>
          <w:lang w:val="zh-CN"/>
        </w:rPr>
        <w:t>名词解释</w:t>
      </w:r>
    </w:p>
    <w:p>
      <w:pPr>
        <w:autoSpaceDE w:val="0"/>
        <w:autoSpaceDN w:val="0"/>
        <w:adjustRightInd w:val="0"/>
        <w:ind w:firstLine="640"/>
        <w:jc w:val="left"/>
        <w:rPr>
          <w:rFonts w:ascii="??_GB2312" w:hAnsi="??_GB2312" w:cs="??_GB2312"/>
          <w:kern w:val="0"/>
          <w:sz w:val="32"/>
          <w:szCs w:val="32"/>
        </w:rPr>
      </w:pPr>
      <w:r>
        <w:rPr>
          <w:rFonts w:ascii="??_GB2312" w:hAnsi="??_GB2312" w:eastAsia="黑体" w:cs="??_GB2312"/>
          <w:kern w:val="0"/>
          <w:sz w:val="32"/>
          <w:szCs w:val="32"/>
        </w:rPr>
        <w:t>1</w:t>
      </w:r>
      <w:r>
        <w:rPr>
          <w:rFonts w:hint="eastAsia" w:ascii="宋体" w:hAnsi="??_GB2312" w:cs="宋体"/>
          <w:kern w:val="0"/>
          <w:sz w:val="32"/>
          <w:szCs w:val="32"/>
          <w:lang w:val="zh-CN"/>
        </w:rPr>
        <w:t>、一般预算收入：财政当年拨付的资金。</w:t>
      </w:r>
    </w:p>
    <w:p>
      <w:pPr>
        <w:autoSpaceDE w:val="0"/>
        <w:autoSpaceDN w:val="0"/>
        <w:adjustRightInd w:val="0"/>
        <w:ind w:firstLine="640"/>
        <w:jc w:val="left"/>
        <w:rPr>
          <w:rFonts w:ascii="??_GB2312" w:hAnsi="??_GB2312" w:cs="??_GB2312"/>
          <w:kern w:val="0"/>
          <w:sz w:val="32"/>
          <w:szCs w:val="32"/>
        </w:rPr>
      </w:pPr>
      <w:r>
        <w:rPr>
          <w:rFonts w:ascii="??_GB2312" w:hAnsi="??_GB2312" w:cs="??_GB2312"/>
          <w:kern w:val="0"/>
          <w:sz w:val="32"/>
          <w:szCs w:val="32"/>
        </w:rPr>
        <w:t>2</w:t>
      </w:r>
      <w:r>
        <w:rPr>
          <w:rFonts w:hint="eastAsia" w:ascii="宋体" w:hAnsi="??_GB2312" w:cs="宋体"/>
          <w:kern w:val="0"/>
          <w:sz w:val="32"/>
          <w:szCs w:val="32"/>
          <w:lang w:val="zh-CN"/>
        </w:rPr>
        <w:t>、基本支出：为保障机构正常运转，完成日常工作任务，而发生的人员支出和公用支出。</w:t>
      </w:r>
    </w:p>
    <w:p>
      <w:pPr>
        <w:autoSpaceDE w:val="0"/>
        <w:autoSpaceDN w:val="0"/>
        <w:adjustRightInd w:val="0"/>
        <w:ind w:firstLine="640"/>
        <w:jc w:val="left"/>
        <w:rPr>
          <w:rFonts w:ascii="??_GB2312" w:hAnsi="??_GB2312" w:cs="??_GB2312"/>
          <w:kern w:val="0"/>
          <w:sz w:val="32"/>
          <w:szCs w:val="32"/>
        </w:rPr>
      </w:pPr>
      <w:r>
        <w:rPr>
          <w:rFonts w:ascii="??_GB2312" w:hAnsi="??_GB2312" w:cs="??_GB2312"/>
          <w:kern w:val="0"/>
          <w:sz w:val="32"/>
          <w:szCs w:val="32"/>
        </w:rPr>
        <w:t>3</w:t>
      </w:r>
      <w:r>
        <w:rPr>
          <w:rFonts w:hint="eastAsia" w:ascii="宋体" w:hAnsi="??_GB2312" w:cs="宋体"/>
          <w:kern w:val="0"/>
          <w:sz w:val="32"/>
          <w:szCs w:val="32"/>
          <w:lang w:val="zh-CN"/>
        </w:rPr>
        <w:t>、项目支出：是指在基本支出之外，为完成特定行政任务和事业发展目标，而发生的支出。</w:t>
      </w:r>
    </w:p>
    <w:p>
      <w:pPr>
        <w:autoSpaceDE w:val="0"/>
        <w:autoSpaceDN w:val="0"/>
        <w:adjustRightInd w:val="0"/>
        <w:ind w:firstLine="640"/>
        <w:jc w:val="left"/>
        <w:rPr>
          <w:rFonts w:ascii="??-???????" w:hAnsi="??-???????" w:cs="??-???????"/>
          <w:b/>
          <w:bCs/>
          <w:kern w:val="0"/>
          <w:sz w:val="32"/>
          <w:szCs w:val="32"/>
        </w:rPr>
      </w:pPr>
      <w:r>
        <w:rPr>
          <w:rFonts w:hint="eastAsia" w:ascii="宋体" w:hAnsi="??_GB2312" w:cs="宋体"/>
          <w:b/>
          <w:bCs/>
          <w:kern w:val="0"/>
          <w:sz w:val="32"/>
          <w:szCs w:val="32"/>
          <w:lang w:val="zh-CN"/>
        </w:rPr>
        <w:t>九、其他需要说明的事项</w:t>
      </w:r>
    </w:p>
    <w:p>
      <w:pPr>
        <w:autoSpaceDE w:val="0"/>
        <w:autoSpaceDN w:val="0"/>
        <w:adjustRightInd w:val="0"/>
        <w:ind w:firstLine="640"/>
        <w:jc w:val="left"/>
        <w:rPr>
          <w:rFonts w:ascii="??_GB2312" w:hAnsi="??_GB2312" w:cs="??_GB2312"/>
          <w:kern w:val="0"/>
          <w:sz w:val="32"/>
          <w:szCs w:val="32"/>
        </w:rPr>
      </w:pPr>
      <w:r>
        <w:rPr>
          <w:rFonts w:hint="eastAsia" w:ascii="宋体" w:hAnsi="??-???????" w:cs="宋体"/>
          <w:kern w:val="0"/>
          <w:sz w:val="32"/>
          <w:szCs w:val="32"/>
          <w:lang w:val="zh-CN"/>
        </w:rPr>
        <w:t>无</w:t>
      </w:r>
    </w:p>
    <w:bookmarkEnd w:id="4"/>
    <w:p>
      <w:pPr>
        <w:spacing w:before="0" w:after="0"/>
        <w:ind w:firstLine="0"/>
        <w:jc w:val="center"/>
        <w:outlineLvl w:val="3"/>
      </w:pPr>
      <w:r>
        <w:rPr>
          <w:rFonts w:ascii="方正小标宋_GBK" w:hAnsi="方正小标宋_GBK" w:eastAsia="方正小标宋_GBK" w:cs="方正小标宋_GBK"/>
          <w:b w:val="0"/>
          <w:color w:val="000000"/>
          <w:sz w:val="44"/>
        </w:rPr>
        <w:t>三、曹妃甸区文化馆收支预算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2959"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13"/>
            </w:pPr>
            <w:r>
              <w:t>序号</w:t>
            </w:r>
          </w:p>
        </w:tc>
        <w:tc>
          <w:tcPr>
            <w:tcW w:w="5918" w:type="dxa"/>
            <w:gridSpan w:val="2"/>
            <w:noWrap w:val="0"/>
            <w:vAlign w:val="center"/>
          </w:tcPr>
          <w:p>
            <w:pPr>
              <w:pStyle w:val="13"/>
            </w:pPr>
            <w:r>
              <w:t>收入</w:t>
            </w:r>
          </w:p>
        </w:tc>
        <w:tc>
          <w:tcPr>
            <w:tcW w:w="5918"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13"/>
            </w:pPr>
            <w:r>
              <w:t>项  目</w:t>
            </w:r>
          </w:p>
        </w:tc>
        <w:tc>
          <w:tcPr>
            <w:tcW w:w="2959" w:type="dxa"/>
            <w:noWrap w:val="0"/>
            <w:vAlign w:val="center"/>
          </w:tcPr>
          <w:p>
            <w:pPr>
              <w:pStyle w:val="13"/>
            </w:pPr>
            <w:r>
              <w:t>预算数</w:t>
            </w:r>
          </w:p>
        </w:tc>
        <w:tc>
          <w:tcPr>
            <w:tcW w:w="2959" w:type="dxa"/>
            <w:noWrap w:val="0"/>
            <w:vAlign w:val="center"/>
          </w:tcPr>
          <w:p>
            <w:pPr>
              <w:pStyle w:val="13"/>
            </w:pPr>
            <w:r>
              <w:t>项  目</w:t>
            </w:r>
          </w:p>
        </w:tc>
        <w:tc>
          <w:tcPr>
            <w:tcW w:w="2959"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13"/>
            </w:pPr>
            <w:r>
              <w:t>栏次</w:t>
            </w:r>
          </w:p>
        </w:tc>
        <w:tc>
          <w:tcPr>
            <w:tcW w:w="2959" w:type="dxa"/>
            <w:noWrap w:val="0"/>
            <w:vAlign w:val="center"/>
          </w:tcPr>
          <w:p>
            <w:pPr>
              <w:pStyle w:val="13"/>
            </w:pPr>
            <w:r>
              <w:t>1</w:t>
            </w:r>
          </w:p>
        </w:tc>
        <w:tc>
          <w:tcPr>
            <w:tcW w:w="2959" w:type="dxa"/>
            <w:noWrap w:val="0"/>
            <w:vAlign w:val="center"/>
          </w:tcPr>
          <w:p>
            <w:pPr>
              <w:pStyle w:val="13"/>
            </w:pPr>
            <w:r>
              <w:t>2</w:t>
            </w:r>
          </w:p>
        </w:tc>
        <w:tc>
          <w:tcPr>
            <w:tcW w:w="2959" w:type="dxa"/>
            <w:noWrap w:val="0"/>
            <w:vAlign w:val="center"/>
          </w:tcPr>
          <w:p>
            <w:pPr>
              <w:pStyle w:val="13"/>
            </w:pPr>
            <w:r>
              <w:t>3</w:t>
            </w:r>
          </w:p>
        </w:tc>
        <w:tc>
          <w:tcPr>
            <w:tcW w:w="2959"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w:t>
            </w:r>
          </w:p>
        </w:tc>
        <w:tc>
          <w:tcPr>
            <w:tcW w:w="2959" w:type="dxa"/>
            <w:noWrap w:val="0"/>
            <w:vAlign w:val="center"/>
          </w:tcPr>
          <w:p>
            <w:pPr>
              <w:pStyle w:val="15"/>
            </w:pPr>
            <w:r>
              <w:t>一、一般公共预算拨款收入</w:t>
            </w:r>
          </w:p>
        </w:tc>
        <w:tc>
          <w:tcPr>
            <w:tcW w:w="2959" w:type="dxa"/>
            <w:noWrap w:val="0"/>
            <w:vAlign w:val="center"/>
          </w:tcPr>
          <w:p>
            <w:pPr>
              <w:pStyle w:val="14"/>
              <w:rPr>
                <w:rFonts w:hint="default" w:eastAsia="方正书宋_GBK"/>
                <w:lang w:val="en-US" w:eastAsia="zh-CN"/>
              </w:rPr>
            </w:pPr>
            <w:r>
              <w:rPr>
                <w:rFonts w:hint="eastAsia"/>
                <w:lang w:val="en-US" w:eastAsia="zh-CN"/>
              </w:rPr>
              <w:t>293.24</w:t>
            </w:r>
          </w:p>
        </w:tc>
        <w:tc>
          <w:tcPr>
            <w:tcW w:w="2959" w:type="dxa"/>
            <w:noWrap w:val="0"/>
            <w:vAlign w:val="center"/>
          </w:tcPr>
          <w:p>
            <w:pPr>
              <w:pStyle w:val="15"/>
            </w:pPr>
            <w:r>
              <w:t>一、一般公共服务支出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w:t>
            </w:r>
          </w:p>
        </w:tc>
        <w:tc>
          <w:tcPr>
            <w:tcW w:w="2959" w:type="dxa"/>
            <w:noWrap w:val="0"/>
            <w:vAlign w:val="center"/>
          </w:tcPr>
          <w:p>
            <w:pPr>
              <w:pStyle w:val="15"/>
            </w:pPr>
            <w:r>
              <w:t>二、政府性基金预算拨款收入</w:t>
            </w:r>
          </w:p>
        </w:tc>
        <w:tc>
          <w:tcPr>
            <w:tcW w:w="2959" w:type="dxa"/>
            <w:noWrap w:val="0"/>
            <w:vAlign w:val="center"/>
          </w:tcPr>
          <w:p>
            <w:pPr>
              <w:pStyle w:val="14"/>
            </w:pPr>
          </w:p>
        </w:tc>
        <w:tc>
          <w:tcPr>
            <w:tcW w:w="2959" w:type="dxa"/>
            <w:noWrap w:val="0"/>
            <w:vAlign w:val="center"/>
          </w:tcPr>
          <w:p>
            <w:pPr>
              <w:pStyle w:val="15"/>
            </w:pPr>
            <w:r>
              <w:t>二、外交支出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w:t>
            </w:r>
          </w:p>
        </w:tc>
        <w:tc>
          <w:tcPr>
            <w:tcW w:w="2959" w:type="dxa"/>
            <w:noWrap w:val="0"/>
            <w:vAlign w:val="center"/>
          </w:tcPr>
          <w:p>
            <w:pPr>
              <w:pStyle w:val="15"/>
            </w:pPr>
            <w:r>
              <w:t>三、国有资本经营预算拨款收入</w:t>
            </w:r>
          </w:p>
        </w:tc>
        <w:tc>
          <w:tcPr>
            <w:tcW w:w="2959" w:type="dxa"/>
            <w:noWrap w:val="0"/>
            <w:vAlign w:val="center"/>
          </w:tcPr>
          <w:p>
            <w:pPr>
              <w:pStyle w:val="14"/>
            </w:pPr>
          </w:p>
        </w:tc>
        <w:tc>
          <w:tcPr>
            <w:tcW w:w="2959" w:type="dxa"/>
            <w:noWrap w:val="0"/>
            <w:vAlign w:val="center"/>
          </w:tcPr>
          <w:p>
            <w:pPr>
              <w:pStyle w:val="15"/>
            </w:pPr>
            <w:r>
              <w:t>三、国防支出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4</w:t>
            </w:r>
          </w:p>
        </w:tc>
        <w:tc>
          <w:tcPr>
            <w:tcW w:w="2959" w:type="dxa"/>
            <w:noWrap w:val="0"/>
            <w:vAlign w:val="center"/>
          </w:tcPr>
          <w:p>
            <w:pPr>
              <w:pStyle w:val="15"/>
            </w:pPr>
            <w:r>
              <w:t>四、财政专户管理资金收入</w:t>
            </w:r>
          </w:p>
        </w:tc>
        <w:tc>
          <w:tcPr>
            <w:tcW w:w="2959" w:type="dxa"/>
            <w:noWrap w:val="0"/>
            <w:vAlign w:val="center"/>
          </w:tcPr>
          <w:p>
            <w:pPr>
              <w:pStyle w:val="14"/>
            </w:pPr>
          </w:p>
        </w:tc>
        <w:tc>
          <w:tcPr>
            <w:tcW w:w="2959" w:type="dxa"/>
            <w:noWrap w:val="0"/>
            <w:vAlign w:val="center"/>
          </w:tcPr>
          <w:p>
            <w:pPr>
              <w:pStyle w:val="15"/>
            </w:pPr>
            <w:r>
              <w:t>四、公共安全支出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5</w:t>
            </w:r>
          </w:p>
        </w:tc>
        <w:tc>
          <w:tcPr>
            <w:tcW w:w="2959" w:type="dxa"/>
            <w:noWrap w:val="0"/>
            <w:vAlign w:val="center"/>
          </w:tcPr>
          <w:p>
            <w:pPr>
              <w:pStyle w:val="15"/>
            </w:pPr>
            <w:r>
              <w:t>五、事业收入</w:t>
            </w:r>
          </w:p>
        </w:tc>
        <w:tc>
          <w:tcPr>
            <w:tcW w:w="2959" w:type="dxa"/>
            <w:noWrap w:val="0"/>
            <w:vAlign w:val="center"/>
          </w:tcPr>
          <w:p>
            <w:pPr>
              <w:pStyle w:val="14"/>
            </w:pPr>
          </w:p>
        </w:tc>
        <w:tc>
          <w:tcPr>
            <w:tcW w:w="2959" w:type="dxa"/>
            <w:noWrap w:val="0"/>
            <w:vAlign w:val="center"/>
          </w:tcPr>
          <w:p>
            <w:pPr>
              <w:pStyle w:val="15"/>
            </w:pPr>
            <w:r>
              <w:t>五、教育支出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6</w:t>
            </w:r>
          </w:p>
        </w:tc>
        <w:tc>
          <w:tcPr>
            <w:tcW w:w="2959" w:type="dxa"/>
            <w:noWrap w:val="0"/>
            <w:vAlign w:val="center"/>
          </w:tcPr>
          <w:p>
            <w:pPr>
              <w:pStyle w:val="15"/>
            </w:pPr>
            <w:r>
              <w:t>六、事业单位经营收入</w:t>
            </w:r>
          </w:p>
        </w:tc>
        <w:tc>
          <w:tcPr>
            <w:tcW w:w="2959" w:type="dxa"/>
            <w:noWrap w:val="0"/>
            <w:vAlign w:val="center"/>
          </w:tcPr>
          <w:p>
            <w:pPr>
              <w:pStyle w:val="14"/>
            </w:pPr>
          </w:p>
        </w:tc>
        <w:tc>
          <w:tcPr>
            <w:tcW w:w="2959" w:type="dxa"/>
            <w:noWrap w:val="0"/>
            <w:vAlign w:val="center"/>
          </w:tcPr>
          <w:p>
            <w:pPr>
              <w:pStyle w:val="15"/>
            </w:pPr>
            <w:r>
              <w:t>六、科学技术支出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7</w:t>
            </w:r>
          </w:p>
        </w:tc>
        <w:tc>
          <w:tcPr>
            <w:tcW w:w="2959" w:type="dxa"/>
            <w:noWrap w:val="0"/>
            <w:vAlign w:val="center"/>
          </w:tcPr>
          <w:p>
            <w:pPr>
              <w:pStyle w:val="15"/>
            </w:pPr>
            <w:r>
              <w:t>七、上级补助收入</w:t>
            </w:r>
          </w:p>
        </w:tc>
        <w:tc>
          <w:tcPr>
            <w:tcW w:w="2959" w:type="dxa"/>
            <w:noWrap w:val="0"/>
            <w:vAlign w:val="center"/>
          </w:tcPr>
          <w:p>
            <w:pPr>
              <w:pStyle w:val="14"/>
            </w:pPr>
          </w:p>
        </w:tc>
        <w:tc>
          <w:tcPr>
            <w:tcW w:w="2959" w:type="dxa"/>
            <w:noWrap w:val="0"/>
            <w:vAlign w:val="center"/>
          </w:tcPr>
          <w:p>
            <w:pPr>
              <w:pStyle w:val="15"/>
            </w:pPr>
            <w:r>
              <w:t>七、文化旅游体育与传媒支出</w:t>
            </w:r>
          </w:p>
        </w:tc>
        <w:tc>
          <w:tcPr>
            <w:tcW w:w="2959" w:type="dxa"/>
            <w:noWrap w:val="0"/>
            <w:vAlign w:val="center"/>
          </w:tcPr>
          <w:p>
            <w:pPr>
              <w:pStyle w:val="14"/>
              <w:rPr>
                <w:rFonts w:hint="default" w:eastAsia="方正书宋_GBK"/>
                <w:lang w:val="en-US" w:eastAsia="zh-CN"/>
              </w:rPr>
            </w:pPr>
            <w:r>
              <w:rPr>
                <w:rFonts w:hint="eastAsia"/>
                <w:lang w:val="en-US" w:eastAsia="zh-CN"/>
              </w:rPr>
              <w:t>224.43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8</w:t>
            </w:r>
          </w:p>
        </w:tc>
        <w:tc>
          <w:tcPr>
            <w:tcW w:w="2959" w:type="dxa"/>
            <w:noWrap w:val="0"/>
            <w:vAlign w:val="center"/>
          </w:tcPr>
          <w:p>
            <w:pPr>
              <w:pStyle w:val="15"/>
            </w:pPr>
            <w:r>
              <w:t>八、附属单位上缴收入</w:t>
            </w:r>
          </w:p>
        </w:tc>
        <w:tc>
          <w:tcPr>
            <w:tcW w:w="2959" w:type="dxa"/>
            <w:noWrap w:val="0"/>
            <w:vAlign w:val="center"/>
          </w:tcPr>
          <w:p>
            <w:pPr>
              <w:pStyle w:val="14"/>
            </w:pPr>
          </w:p>
        </w:tc>
        <w:tc>
          <w:tcPr>
            <w:tcW w:w="2959" w:type="dxa"/>
            <w:noWrap w:val="0"/>
            <w:vAlign w:val="center"/>
          </w:tcPr>
          <w:p>
            <w:pPr>
              <w:pStyle w:val="15"/>
            </w:pPr>
            <w:r>
              <w:t>八、社会保障和就业支出</w:t>
            </w:r>
          </w:p>
        </w:tc>
        <w:tc>
          <w:tcPr>
            <w:tcW w:w="2959" w:type="dxa"/>
            <w:noWrap w:val="0"/>
            <w:vAlign w:val="center"/>
          </w:tcPr>
          <w:p>
            <w:pPr>
              <w:pStyle w:val="14"/>
              <w:rPr>
                <w:rFonts w:hint="default" w:eastAsia="方正书宋_GBK"/>
                <w:lang w:val="en-US" w:eastAsia="zh-CN"/>
              </w:rPr>
            </w:pPr>
            <w:r>
              <w:rPr>
                <w:rFonts w:hint="eastAsia"/>
                <w:lang w:val="en-US" w:eastAsia="zh-CN"/>
              </w:rPr>
              <w:t>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9</w:t>
            </w:r>
          </w:p>
        </w:tc>
        <w:tc>
          <w:tcPr>
            <w:tcW w:w="2959" w:type="dxa"/>
            <w:noWrap w:val="0"/>
            <w:vAlign w:val="center"/>
          </w:tcPr>
          <w:p>
            <w:pPr>
              <w:pStyle w:val="15"/>
            </w:pPr>
            <w:r>
              <w:t>九、其他收入</w:t>
            </w:r>
          </w:p>
        </w:tc>
        <w:tc>
          <w:tcPr>
            <w:tcW w:w="2959" w:type="dxa"/>
            <w:noWrap w:val="0"/>
            <w:vAlign w:val="center"/>
          </w:tcPr>
          <w:p>
            <w:pPr>
              <w:pStyle w:val="14"/>
            </w:pPr>
          </w:p>
        </w:tc>
        <w:tc>
          <w:tcPr>
            <w:tcW w:w="2959" w:type="dxa"/>
            <w:noWrap w:val="0"/>
            <w:vAlign w:val="center"/>
          </w:tcPr>
          <w:p>
            <w:pPr>
              <w:pStyle w:val="15"/>
            </w:pPr>
            <w:r>
              <w:t>九、社会保险基金支出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十、卫生健康支出</w:t>
            </w:r>
          </w:p>
        </w:tc>
        <w:tc>
          <w:tcPr>
            <w:tcW w:w="2959" w:type="dxa"/>
            <w:noWrap w:val="0"/>
            <w:vAlign w:val="center"/>
          </w:tcPr>
          <w:p>
            <w:pPr>
              <w:pStyle w:val="14"/>
              <w:rPr>
                <w:rFonts w:hint="default" w:eastAsia="方正书宋_GBK"/>
                <w:lang w:val="en-US" w:eastAsia="zh-CN"/>
              </w:rPr>
            </w:pPr>
            <w:r>
              <w:rPr>
                <w:rFonts w:hint="eastAsia"/>
                <w:lang w:val="en-US" w:eastAsia="zh-CN"/>
              </w:rPr>
              <w:t>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11</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十一、节能环保支出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12</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十二、城乡社区支出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13</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十三、农林水支出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14</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十四、交通运输支出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15</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十五、资源勘探工业信息等支出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16</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十六、商业服务业等支出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17</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十七、金融支出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18</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十八、援助其他地区支出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19</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十九、自然资源海洋气象等支出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二十、住房保障支出</w:t>
            </w:r>
          </w:p>
        </w:tc>
        <w:tc>
          <w:tcPr>
            <w:tcW w:w="2959" w:type="dxa"/>
            <w:noWrap w:val="0"/>
            <w:vAlign w:val="center"/>
          </w:tcPr>
          <w:p>
            <w:pPr>
              <w:pStyle w:val="14"/>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21</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二十一、粮油物资储备支出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22</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二十二、国有资本经营预算支出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23</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二十三、灾害防治及应急管理支出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24</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二十四、预备费</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25</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二十五、其他支出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26</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二十六、转移性支出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27</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二十七、债务还本支出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28</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二十八、债务付息支出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29</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二十九、债务发行费用支出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三十、抗疫特别国债安排的支出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31</w:t>
            </w:r>
          </w:p>
        </w:tc>
        <w:tc>
          <w:tcPr>
            <w:tcW w:w="2959" w:type="dxa"/>
            <w:noWrap w:val="0"/>
            <w:vAlign w:val="center"/>
          </w:tcPr>
          <w:p>
            <w:pPr>
              <w:pStyle w:val="17"/>
            </w:pPr>
            <w:r>
              <w:t>本年收入合计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c>
          <w:tcPr>
            <w:tcW w:w="2959" w:type="dxa"/>
            <w:noWrap w:val="0"/>
            <w:vAlign w:val="center"/>
          </w:tcPr>
          <w:p>
            <w:pPr>
              <w:pStyle w:val="17"/>
            </w:pPr>
            <w:r>
              <w:t>本年支出合计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32</w:t>
            </w:r>
          </w:p>
        </w:tc>
        <w:tc>
          <w:tcPr>
            <w:tcW w:w="2959" w:type="dxa"/>
            <w:noWrap w:val="0"/>
            <w:vAlign w:val="center"/>
          </w:tcPr>
          <w:p>
            <w:pPr>
              <w:pStyle w:val="15"/>
            </w:pPr>
            <w:r>
              <w:t>上年结转结余</w:t>
            </w:r>
          </w:p>
        </w:tc>
        <w:tc>
          <w:tcPr>
            <w:tcW w:w="2959" w:type="dxa"/>
            <w:noWrap w:val="0"/>
            <w:vAlign w:val="center"/>
          </w:tcPr>
          <w:p>
            <w:pPr>
              <w:pStyle w:val="14"/>
            </w:pPr>
          </w:p>
        </w:tc>
        <w:tc>
          <w:tcPr>
            <w:tcW w:w="2959" w:type="dxa"/>
            <w:noWrap w:val="0"/>
            <w:vAlign w:val="center"/>
          </w:tcPr>
          <w:p>
            <w:pPr>
              <w:pStyle w:val="15"/>
            </w:pPr>
            <w:r>
              <w:t>年终结转结余</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33</w:t>
            </w:r>
          </w:p>
        </w:tc>
        <w:tc>
          <w:tcPr>
            <w:tcW w:w="2959" w:type="dxa"/>
            <w:noWrap w:val="0"/>
            <w:vAlign w:val="center"/>
          </w:tcPr>
          <w:p>
            <w:pPr>
              <w:pStyle w:val="17"/>
            </w:pPr>
            <w:r>
              <w:t>收入总计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c>
          <w:tcPr>
            <w:tcW w:w="2959" w:type="dxa"/>
            <w:noWrap w:val="0"/>
            <w:vAlign w:val="center"/>
          </w:tcPr>
          <w:p>
            <w:pPr>
              <w:pStyle w:val="17"/>
            </w:pPr>
            <w:r>
              <w:t>支出总计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2274"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3"/>
            </w:pPr>
            <w:r>
              <w:t>序号</w:t>
            </w:r>
          </w:p>
        </w:tc>
        <w:tc>
          <w:tcPr>
            <w:tcW w:w="1516" w:type="dxa"/>
            <w:gridSpan w:val="2"/>
            <w:noWrap w:val="0"/>
            <w:vAlign w:val="center"/>
          </w:tcPr>
          <w:p>
            <w:pPr>
              <w:pStyle w:val="13"/>
            </w:pPr>
            <w:r>
              <w:t>功能分类科目</w:t>
            </w:r>
          </w:p>
        </w:tc>
        <w:tc>
          <w:tcPr>
            <w:tcW w:w="758" w:type="dxa"/>
            <w:vMerge w:val="restart"/>
            <w:noWrap w:val="0"/>
            <w:vAlign w:val="center"/>
          </w:tcPr>
          <w:p>
            <w:pPr>
              <w:pStyle w:val="13"/>
            </w:pPr>
            <w:r>
              <w:t>合计</w:t>
            </w:r>
          </w:p>
        </w:tc>
        <w:tc>
          <w:tcPr>
            <w:tcW w:w="6064" w:type="dxa"/>
            <w:gridSpan w:val="8"/>
            <w:noWrap w:val="0"/>
            <w:vAlign w:val="center"/>
          </w:tcPr>
          <w:p>
            <w:pPr>
              <w:pStyle w:val="13"/>
            </w:pPr>
            <w:r>
              <w:t>本年收入</w:t>
            </w:r>
          </w:p>
        </w:tc>
        <w:tc>
          <w:tcPr>
            <w:tcW w:w="758"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13"/>
            </w:pPr>
            <w:r>
              <w:t>科目    编码</w:t>
            </w:r>
          </w:p>
        </w:tc>
        <w:tc>
          <w:tcPr>
            <w:tcW w:w="758" w:type="dxa"/>
            <w:noWrap w:val="0"/>
            <w:vAlign w:val="center"/>
          </w:tcPr>
          <w:p>
            <w:pPr>
              <w:pStyle w:val="13"/>
            </w:pPr>
            <w:r>
              <w:t>科目名称</w:t>
            </w:r>
          </w:p>
        </w:tc>
        <w:tc>
          <w:tcPr>
            <w:tcW w:w="758" w:type="dxa"/>
            <w:vMerge w:val="continue"/>
            <w:noWrap w:val="0"/>
            <w:vAlign w:val="top"/>
          </w:tcPr>
          <w:p/>
        </w:tc>
        <w:tc>
          <w:tcPr>
            <w:tcW w:w="758" w:type="dxa"/>
            <w:noWrap w:val="0"/>
            <w:vAlign w:val="center"/>
          </w:tcPr>
          <w:p>
            <w:pPr>
              <w:pStyle w:val="13"/>
            </w:pPr>
            <w:r>
              <w:t>小计</w:t>
            </w:r>
          </w:p>
        </w:tc>
        <w:tc>
          <w:tcPr>
            <w:tcW w:w="758" w:type="dxa"/>
            <w:noWrap w:val="0"/>
            <w:vAlign w:val="center"/>
          </w:tcPr>
          <w:p>
            <w:pPr>
              <w:pStyle w:val="13"/>
            </w:pPr>
            <w:r>
              <w:t>财政拨款 收入</w:t>
            </w:r>
          </w:p>
        </w:tc>
        <w:tc>
          <w:tcPr>
            <w:tcW w:w="758" w:type="dxa"/>
            <w:noWrap w:val="0"/>
            <w:vAlign w:val="center"/>
          </w:tcPr>
          <w:p>
            <w:pPr>
              <w:pStyle w:val="13"/>
            </w:pPr>
            <w:r>
              <w:t>财政专户 收入</w:t>
            </w:r>
          </w:p>
        </w:tc>
        <w:tc>
          <w:tcPr>
            <w:tcW w:w="758" w:type="dxa"/>
            <w:noWrap w:val="0"/>
            <w:vAlign w:val="center"/>
          </w:tcPr>
          <w:p>
            <w:pPr>
              <w:pStyle w:val="13"/>
            </w:pPr>
            <w:r>
              <w:t>事业收入</w:t>
            </w:r>
          </w:p>
        </w:tc>
        <w:tc>
          <w:tcPr>
            <w:tcW w:w="758" w:type="dxa"/>
            <w:noWrap w:val="0"/>
            <w:vAlign w:val="center"/>
          </w:tcPr>
          <w:p>
            <w:pPr>
              <w:pStyle w:val="13"/>
            </w:pPr>
            <w:r>
              <w:t>经营收入</w:t>
            </w:r>
          </w:p>
        </w:tc>
        <w:tc>
          <w:tcPr>
            <w:tcW w:w="758" w:type="dxa"/>
            <w:noWrap w:val="0"/>
            <w:vAlign w:val="center"/>
          </w:tcPr>
          <w:p>
            <w:pPr>
              <w:pStyle w:val="13"/>
            </w:pPr>
            <w:r>
              <w:t>上级补助收入</w:t>
            </w:r>
          </w:p>
        </w:tc>
        <w:tc>
          <w:tcPr>
            <w:tcW w:w="758" w:type="dxa"/>
            <w:noWrap w:val="0"/>
            <w:vAlign w:val="center"/>
          </w:tcPr>
          <w:p>
            <w:pPr>
              <w:pStyle w:val="13"/>
            </w:pPr>
            <w:r>
              <w:t>附属单位上缴收入</w:t>
            </w:r>
          </w:p>
        </w:tc>
        <w:tc>
          <w:tcPr>
            <w:tcW w:w="758" w:type="dxa"/>
            <w:noWrap w:val="0"/>
            <w:vAlign w:val="center"/>
          </w:tcPr>
          <w:p>
            <w:pPr>
              <w:pStyle w:val="13"/>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13"/>
            </w:pPr>
            <w:r>
              <w:t>栏次</w:t>
            </w:r>
          </w:p>
        </w:tc>
        <w:tc>
          <w:tcPr>
            <w:tcW w:w="758" w:type="dxa"/>
            <w:noWrap w:val="0"/>
            <w:vAlign w:val="center"/>
          </w:tcPr>
          <w:p>
            <w:pPr>
              <w:pStyle w:val="13"/>
            </w:pPr>
            <w:r>
              <w:t>1</w:t>
            </w:r>
          </w:p>
        </w:tc>
        <w:tc>
          <w:tcPr>
            <w:tcW w:w="758" w:type="dxa"/>
            <w:noWrap w:val="0"/>
            <w:vAlign w:val="center"/>
          </w:tcPr>
          <w:p>
            <w:pPr>
              <w:pStyle w:val="13"/>
            </w:pPr>
            <w:r>
              <w:t>2</w:t>
            </w:r>
          </w:p>
        </w:tc>
        <w:tc>
          <w:tcPr>
            <w:tcW w:w="758" w:type="dxa"/>
            <w:noWrap w:val="0"/>
            <w:vAlign w:val="center"/>
          </w:tcPr>
          <w:p>
            <w:pPr>
              <w:pStyle w:val="13"/>
            </w:pPr>
            <w:r>
              <w:t>3</w:t>
            </w:r>
          </w:p>
        </w:tc>
        <w:tc>
          <w:tcPr>
            <w:tcW w:w="758" w:type="dxa"/>
            <w:noWrap w:val="0"/>
            <w:vAlign w:val="center"/>
          </w:tcPr>
          <w:p>
            <w:pPr>
              <w:pStyle w:val="13"/>
            </w:pPr>
            <w:r>
              <w:t>4</w:t>
            </w:r>
          </w:p>
        </w:tc>
        <w:tc>
          <w:tcPr>
            <w:tcW w:w="758" w:type="dxa"/>
            <w:noWrap w:val="0"/>
            <w:vAlign w:val="center"/>
          </w:tcPr>
          <w:p>
            <w:pPr>
              <w:pStyle w:val="13"/>
            </w:pPr>
            <w:r>
              <w:t>5</w:t>
            </w:r>
          </w:p>
        </w:tc>
        <w:tc>
          <w:tcPr>
            <w:tcW w:w="758" w:type="dxa"/>
            <w:noWrap w:val="0"/>
            <w:vAlign w:val="center"/>
          </w:tcPr>
          <w:p>
            <w:pPr>
              <w:pStyle w:val="13"/>
            </w:pPr>
            <w:r>
              <w:t>6</w:t>
            </w:r>
          </w:p>
        </w:tc>
        <w:tc>
          <w:tcPr>
            <w:tcW w:w="758" w:type="dxa"/>
            <w:noWrap w:val="0"/>
            <w:vAlign w:val="center"/>
          </w:tcPr>
          <w:p>
            <w:pPr>
              <w:pStyle w:val="13"/>
            </w:pPr>
            <w:r>
              <w:t>7</w:t>
            </w:r>
          </w:p>
        </w:tc>
        <w:tc>
          <w:tcPr>
            <w:tcW w:w="758" w:type="dxa"/>
            <w:noWrap w:val="0"/>
            <w:vAlign w:val="center"/>
          </w:tcPr>
          <w:p>
            <w:pPr>
              <w:pStyle w:val="13"/>
            </w:pPr>
            <w:r>
              <w:t>8</w:t>
            </w:r>
          </w:p>
        </w:tc>
        <w:tc>
          <w:tcPr>
            <w:tcW w:w="758" w:type="dxa"/>
            <w:noWrap w:val="0"/>
            <w:vAlign w:val="center"/>
          </w:tcPr>
          <w:p>
            <w:pPr>
              <w:pStyle w:val="13"/>
            </w:pPr>
            <w:r>
              <w:t>9</w:t>
            </w:r>
          </w:p>
        </w:tc>
        <w:tc>
          <w:tcPr>
            <w:tcW w:w="758" w:type="dxa"/>
            <w:noWrap w:val="0"/>
            <w:vAlign w:val="center"/>
          </w:tcPr>
          <w:p>
            <w:pPr>
              <w:pStyle w:val="13"/>
            </w:pPr>
            <w:r>
              <w:t>10</w:t>
            </w:r>
          </w:p>
        </w:tc>
        <w:tc>
          <w:tcPr>
            <w:tcW w:w="758" w:type="dxa"/>
            <w:noWrap w:val="0"/>
            <w:vAlign w:val="center"/>
          </w:tcPr>
          <w:p>
            <w:pPr>
              <w:pStyle w:val="13"/>
            </w:pPr>
            <w:r>
              <w:t>11</w:t>
            </w:r>
          </w:p>
        </w:tc>
        <w:tc>
          <w:tcPr>
            <w:tcW w:w="758"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w:t>
            </w:r>
          </w:p>
        </w:tc>
        <w:tc>
          <w:tcPr>
            <w:tcW w:w="758" w:type="dxa"/>
            <w:noWrap w:val="0"/>
            <w:vAlign w:val="center"/>
          </w:tcPr>
          <w:p>
            <w:pPr>
              <w:pStyle w:val="19"/>
            </w:pPr>
          </w:p>
        </w:tc>
        <w:tc>
          <w:tcPr>
            <w:tcW w:w="758" w:type="dxa"/>
            <w:noWrap w:val="0"/>
            <w:vAlign w:val="center"/>
          </w:tcPr>
          <w:p>
            <w:pPr>
              <w:pStyle w:val="17"/>
            </w:pPr>
            <w:r>
              <w:t>合计</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2</w:t>
            </w:r>
          </w:p>
        </w:tc>
        <w:tc>
          <w:tcPr>
            <w:tcW w:w="758" w:type="dxa"/>
            <w:noWrap w:val="0"/>
            <w:vAlign w:val="center"/>
          </w:tcPr>
          <w:p>
            <w:pPr>
              <w:pStyle w:val="15"/>
            </w:pPr>
            <w:r>
              <w:t>207</w:t>
            </w:r>
          </w:p>
        </w:tc>
        <w:tc>
          <w:tcPr>
            <w:tcW w:w="758" w:type="dxa"/>
            <w:noWrap w:val="0"/>
            <w:vAlign w:val="center"/>
          </w:tcPr>
          <w:p>
            <w:pPr>
              <w:pStyle w:val="15"/>
            </w:pPr>
            <w:r>
              <w:t>文化旅游体育与传媒支出</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3</w:t>
            </w:r>
          </w:p>
        </w:tc>
        <w:tc>
          <w:tcPr>
            <w:tcW w:w="758" w:type="dxa"/>
            <w:noWrap w:val="0"/>
            <w:vAlign w:val="center"/>
          </w:tcPr>
          <w:p>
            <w:pPr>
              <w:pStyle w:val="15"/>
            </w:pPr>
            <w:r>
              <w:t>20701</w:t>
            </w:r>
          </w:p>
        </w:tc>
        <w:tc>
          <w:tcPr>
            <w:tcW w:w="758" w:type="dxa"/>
            <w:noWrap w:val="0"/>
            <w:vAlign w:val="center"/>
          </w:tcPr>
          <w:p>
            <w:pPr>
              <w:pStyle w:val="15"/>
            </w:pPr>
            <w:r>
              <w:t>文化和旅游</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4</w:t>
            </w:r>
          </w:p>
        </w:tc>
        <w:tc>
          <w:tcPr>
            <w:tcW w:w="758" w:type="dxa"/>
            <w:noWrap w:val="0"/>
            <w:vAlign w:val="center"/>
          </w:tcPr>
          <w:p>
            <w:pPr>
              <w:pStyle w:val="15"/>
            </w:pPr>
            <w:r>
              <w:t>2070109</w:t>
            </w:r>
          </w:p>
        </w:tc>
        <w:tc>
          <w:tcPr>
            <w:tcW w:w="758" w:type="dxa"/>
            <w:noWrap w:val="0"/>
            <w:vAlign w:val="center"/>
          </w:tcPr>
          <w:p>
            <w:pPr>
              <w:pStyle w:val="15"/>
            </w:pPr>
            <w:r>
              <w:t>群众文化</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5</w:t>
            </w:r>
          </w:p>
        </w:tc>
        <w:tc>
          <w:tcPr>
            <w:tcW w:w="758" w:type="dxa"/>
            <w:noWrap w:val="0"/>
            <w:vAlign w:val="center"/>
          </w:tcPr>
          <w:p>
            <w:pPr>
              <w:pStyle w:val="15"/>
            </w:pPr>
            <w:r>
              <w:t>208</w:t>
            </w:r>
          </w:p>
        </w:tc>
        <w:tc>
          <w:tcPr>
            <w:tcW w:w="758" w:type="dxa"/>
            <w:noWrap w:val="0"/>
            <w:vAlign w:val="center"/>
          </w:tcPr>
          <w:p>
            <w:pPr>
              <w:pStyle w:val="15"/>
            </w:pPr>
            <w:r>
              <w:t>社会保障和就业支出</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6</w:t>
            </w:r>
          </w:p>
        </w:tc>
        <w:tc>
          <w:tcPr>
            <w:tcW w:w="758" w:type="dxa"/>
            <w:noWrap w:val="0"/>
            <w:vAlign w:val="center"/>
          </w:tcPr>
          <w:p>
            <w:pPr>
              <w:pStyle w:val="15"/>
            </w:pPr>
            <w:r>
              <w:t>20805</w:t>
            </w:r>
          </w:p>
        </w:tc>
        <w:tc>
          <w:tcPr>
            <w:tcW w:w="758" w:type="dxa"/>
            <w:noWrap w:val="0"/>
            <w:vAlign w:val="center"/>
          </w:tcPr>
          <w:p>
            <w:pPr>
              <w:pStyle w:val="15"/>
            </w:pPr>
            <w:r>
              <w:t>行政事业单位养老支出</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7</w:t>
            </w:r>
          </w:p>
        </w:tc>
        <w:tc>
          <w:tcPr>
            <w:tcW w:w="758" w:type="dxa"/>
            <w:noWrap w:val="0"/>
            <w:vAlign w:val="center"/>
          </w:tcPr>
          <w:p>
            <w:pPr>
              <w:pStyle w:val="15"/>
            </w:pPr>
            <w:r>
              <w:t>2080505</w:t>
            </w:r>
          </w:p>
        </w:tc>
        <w:tc>
          <w:tcPr>
            <w:tcW w:w="758" w:type="dxa"/>
            <w:noWrap w:val="0"/>
            <w:vAlign w:val="center"/>
          </w:tcPr>
          <w:p>
            <w:pPr>
              <w:pStyle w:val="15"/>
            </w:pPr>
            <w:r>
              <w:t>机关事业单位基本养老保险缴费支出</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8</w:t>
            </w:r>
          </w:p>
        </w:tc>
        <w:tc>
          <w:tcPr>
            <w:tcW w:w="758" w:type="dxa"/>
            <w:noWrap w:val="0"/>
            <w:vAlign w:val="center"/>
          </w:tcPr>
          <w:p>
            <w:pPr>
              <w:pStyle w:val="15"/>
            </w:pPr>
            <w:r>
              <w:t>2080506</w:t>
            </w:r>
          </w:p>
        </w:tc>
        <w:tc>
          <w:tcPr>
            <w:tcW w:w="758" w:type="dxa"/>
            <w:noWrap w:val="0"/>
            <w:vAlign w:val="center"/>
          </w:tcPr>
          <w:p>
            <w:pPr>
              <w:pStyle w:val="15"/>
            </w:pPr>
            <w:r>
              <w:t>机关事业单位职业年金缴费支出</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9</w:t>
            </w:r>
          </w:p>
        </w:tc>
        <w:tc>
          <w:tcPr>
            <w:tcW w:w="758" w:type="dxa"/>
            <w:noWrap w:val="0"/>
            <w:vAlign w:val="center"/>
          </w:tcPr>
          <w:p>
            <w:pPr>
              <w:pStyle w:val="15"/>
            </w:pPr>
            <w:r>
              <w:t>210</w:t>
            </w:r>
          </w:p>
        </w:tc>
        <w:tc>
          <w:tcPr>
            <w:tcW w:w="758" w:type="dxa"/>
            <w:noWrap w:val="0"/>
            <w:vAlign w:val="center"/>
          </w:tcPr>
          <w:p>
            <w:pPr>
              <w:pStyle w:val="15"/>
            </w:pPr>
            <w:r>
              <w:t>卫生健康支出</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10</w:t>
            </w:r>
          </w:p>
        </w:tc>
        <w:tc>
          <w:tcPr>
            <w:tcW w:w="758" w:type="dxa"/>
            <w:noWrap w:val="0"/>
            <w:vAlign w:val="center"/>
          </w:tcPr>
          <w:p>
            <w:pPr>
              <w:pStyle w:val="15"/>
            </w:pPr>
            <w:r>
              <w:t>21011</w:t>
            </w:r>
          </w:p>
        </w:tc>
        <w:tc>
          <w:tcPr>
            <w:tcW w:w="758" w:type="dxa"/>
            <w:noWrap w:val="0"/>
            <w:vAlign w:val="center"/>
          </w:tcPr>
          <w:p>
            <w:pPr>
              <w:pStyle w:val="15"/>
            </w:pPr>
            <w:r>
              <w:t>行政事业单位医疗</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11</w:t>
            </w:r>
          </w:p>
        </w:tc>
        <w:tc>
          <w:tcPr>
            <w:tcW w:w="758" w:type="dxa"/>
            <w:noWrap w:val="0"/>
            <w:vAlign w:val="center"/>
          </w:tcPr>
          <w:p>
            <w:pPr>
              <w:pStyle w:val="15"/>
            </w:pPr>
            <w:r>
              <w:t>2101102</w:t>
            </w:r>
          </w:p>
        </w:tc>
        <w:tc>
          <w:tcPr>
            <w:tcW w:w="758" w:type="dxa"/>
            <w:noWrap w:val="0"/>
            <w:vAlign w:val="center"/>
          </w:tcPr>
          <w:p>
            <w:pPr>
              <w:pStyle w:val="15"/>
            </w:pPr>
            <w:r>
              <w:t>事业单位医疗</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12</w:t>
            </w:r>
          </w:p>
        </w:tc>
        <w:tc>
          <w:tcPr>
            <w:tcW w:w="758" w:type="dxa"/>
            <w:noWrap w:val="0"/>
            <w:vAlign w:val="center"/>
          </w:tcPr>
          <w:p>
            <w:pPr>
              <w:pStyle w:val="15"/>
            </w:pPr>
            <w:r>
              <w:t>2101103</w:t>
            </w:r>
          </w:p>
        </w:tc>
        <w:tc>
          <w:tcPr>
            <w:tcW w:w="758" w:type="dxa"/>
            <w:noWrap w:val="0"/>
            <w:vAlign w:val="center"/>
          </w:tcPr>
          <w:p>
            <w:pPr>
              <w:pStyle w:val="15"/>
            </w:pPr>
            <w:r>
              <w:t>公务员医疗补助</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13</w:t>
            </w:r>
          </w:p>
        </w:tc>
        <w:tc>
          <w:tcPr>
            <w:tcW w:w="758" w:type="dxa"/>
            <w:noWrap w:val="0"/>
            <w:vAlign w:val="center"/>
          </w:tcPr>
          <w:p>
            <w:pPr>
              <w:pStyle w:val="15"/>
            </w:pPr>
            <w:r>
              <w:t>221</w:t>
            </w:r>
          </w:p>
        </w:tc>
        <w:tc>
          <w:tcPr>
            <w:tcW w:w="758" w:type="dxa"/>
            <w:noWrap w:val="0"/>
            <w:vAlign w:val="center"/>
          </w:tcPr>
          <w:p>
            <w:pPr>
              <w:pStyle w:val="15"/>
            </w:pPr>
            <w:r>
              <w:t>住房保障支出</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14</w:t>
            </w:r>
          </w:p>
        </w:tc>
        <w:tc>
          <w:tcPr>
            <w:tcW w:w="758" w:type="dxa"/>
            <w:noWrap w:val="0"/>
            <w:vAlign w:val="center"/>
          </w:tcPr>
          <w:p>
            <w:pPr>
              <w:pStyle w:val="15"/>
            </w:pPr>
            <w:r>
              <w:t>22102</w:t>
            </w:r>
          </w:p>
        </w:tc>
        <w:tc>
          <w:tcPr>
            <w:tcW w:w="758" w:type="dxa"/>
            <w:noWrap w:val="0"/>
            <w:vAlign w:val="center"/>
          </w:tcPr>
          <w:p>
            <w:pPr>
              <w:pStyle w:val="15"/>
            </w:pPr>
            <w:r>
              <w:t>住房改革支出</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15</w:t>
            </w:r>
          </w:p>
        </w:tc>
        <w:tc>
          <w:tcPr>
            <w:tcW w:w="758" w:type="dxa"/>
            <w:noWrap w:val="0"/>
            <w:vAlign w:val="center"/>
          </w:tcPr>
          <w:p>
            <w:pPr>
              <w:pStyle w:val="15"/>
            </w:pPr>
            <w:r>
              <w:t>2210201</w:t>
            </w:r>
          </w:p>
        </w:tc>
        <w:tc>
          <w:tcPr>
            <w:tcW w:w="758" w:type="dxa"/>
            <w:noWrap w:val="0"/>
            <w:vAlign w:val="center"/>
          </w:tcPr>
          <w:p>
            <w:pPr>
              <w:pStyle w:val="15"/>
            </w:pPr>
            <w:r>
              <w:t>住房公积金</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bl>
    <w:p>
      <w:pPr>
        <w:sectPr>
          <w:pgSz w:w="16840" w:h="11900" w:orient="landscape"/>
          <w:pgMar w:top="1361" w:right="1020" w:bottom="1134" w:left="1020" w:header="720" w:footer="720" w:gutter="0"/>
          <w:cols w:space="720" w:num="1"/>
        </w:sectPr>
      </w:pPr>
    </w:p>
    <w:tbl>
      <w:tblPr>
        <w:tblStyle w:val="7"/>
        <w:tblW w:w="1422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049"/>
        <w:gridCol w:w="2370"/>
        <w:gridCol w:w="1035"/>
        <w:gridCol w:w="1905"/>
        <w:gridCol w:w="1455"/>
        <w:gridCol w:w="1395"/>
        <w:gridCol w:w="1350"/>
        <w:gridCol w:w="136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42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40" w:firstLineChars="22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207010</w:t>
            </w:r>
            <w:r>
              <w:rPr>
                <w:rFonts w:hint="eastAsia" w:ascii="宋体" w:hAnsi="宋体" w:eastAsia="宋体"/>
                <w:color w:val="000000"/>
                <w:sz w:val="22"/>
                <w:szCs w:val="24"/>
                <w:lang w:val="en-US" w:eastAsia="zh-CN"/>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群众文化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18.39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机关事业单位职业年金缴费支出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9.2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8.33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8.33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8.33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19.09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19.09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19.09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eastAsia="zh-CN"/>
              </w:rPr>
              <w:t>1</w:t>
            </w:r>
            <w:r>
              <w:rPr>
                <w:rFonts w:hint="eastAsia" w:ascii="宋体" w:hAnsi="宋体" w:eastAsia="宋体"/>
                <w:color w:val="000000"/>
                <w:sz w:val="22"/>
                <w:szCs w:val="24"/>
                <w:lang w:val="en-US" w:eastAsia="zh-CN"/>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bl>
    <w:p>
      <w:pPr>
        <w:sectPr>
          <w:pgSz w:w="16840" w:h="11900" w:orient="landscape"/>
          <w:pgMar w:top="1361" w:right="1020" w:bottom="1134" w:left="1020" w:header="720" w:footer="720" w:gutter="0"/>
          <w:cols w:space="720" w:num="1"/>
        </w:sectPr>
      </w:pPr>
    </w:p>
    <w:tbl>
      <w:tblPr>
        <w:tblStyle w:val="7"/>
        <w:tblW w:w="128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3475"/>
        <w:gridCol w:w="1716"/>
        <w:gridCol w:w="4155"/>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2839"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5932" w:type="dxa"/>
            <w:gridSpan w:val="3"/>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393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9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56"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07"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1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9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293.24</w:t>
            </w:r>
          </w:p>
        </w:tc>
      </w:tr>
    </w:tbl>
    <w:p>
      <w:pPr>
        <w:sectPr>
          <w:pgSz w:w="16840" w:h="11900" w:orient="landscape"/>
          <w:pgMar w:top="1361" w:right="1020" w:bottom="1134" w:left="1020" w:header="720" w:footer="720" w:gutter="0"/>
          <w:cols w:space="720" w:num="1"/>
        </w:sectPr>
      </w:pPr>
    </w:p>
    <w:tbl>
      <w:tblPr>
        <w:tblStyle w:val="7"/>
        <w:tblW w:w="143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1161"/>
        <w:gridCol w:w="3956"/>
        <w:gridCol w:w="1055"/>
        <w:gridCol w:w="1061"/>
        <w:gridCol w:w="1328"/>
        <w:gridCol w:w="2525"/>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4308"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gridSpan w:val="6"/>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238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3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3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3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224.43</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8"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2070109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群众文化</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r>
              <w:rPr>
                <w:rFonts w:hint="default" w:ascii="宋体" w:hAnsi="宋体"/>
                <w:color w:val="000000"/>
                <w:sz w:val="22"/>
                <w:szCs w:val="24"/>
                <w:lang w:val="en-US"/>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11.37</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27.59</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1</w:t>
            </w:r>
            <w:r>
              <w:rPr>
                <w:rFonts w:hint="eastAsia" w:ascii="宋体" w:hAnsi="宋体" w:eastAsia="宋体"/>
                <w:color w:val="000000"/>
                <w:sz w:val="22"/>
                <w:szCs w:val="24"/>
                <w:lang w:val="en-US" w:eastAsia="zh-CN"/>
              </w:rPr>
              <w:t>8.39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1</w:t>
            </w:r>
            <w:r>
              <w:rPr>
                <w:rFonts w:hint="eastAsia" w:ascii="宋体" w:hAnsi="宋体" w:eastAsia="宋体"/>
                <w:color w:val="000000"/>
                <w:sz w:val="22"/>
                <w:szCs w:val="24"/>
                <w:lang w:val="en-US" w:eastAsia="zh-CN"/>
              </w:rPr>
              <w:t>8.39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3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9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9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209.24</w:t>
            </w:r>
          </w:p>
        </w:tc>
        <w:tc>
          <w:tcPr>
            <w:tcW w:w="1254"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197.87</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bl>
    <w:p>
      <w:pPr>
        <w:sectPr>
          <w:pgSz w:w="16840" w:h="11900" w:orient="landscape"/>
          <w:pgMar w:top="1361" w:right="1020" w:bottom="1134" w:left="1020" w:header="720" w:footer="720" w:gutter="0"/>
          <w:cols w:space="720" w:num="1"/>
        </w:sectPr>
      </w:pPr>
    </w:p>
    <w:tbl>
      <w:tblPr>
        <w:tblStyle w:val="7"/>
        <w:tblW w:w="127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7"/>
        <w:gridCol w:w="1315"/>
        <w:gridCol w:w="3956"/>
        <w:gridCol w:w="1743"/>
        <w:gridCol w:w="314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2723"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801" w:type="dxa"/>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279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9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9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193.62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193.62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51.63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51.63</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3.71</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3.71</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63.34</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63.34</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1.6</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1.6</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5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11.37</w:t>
            </w:r>
          </w:p>
        </w:tc>
        <w:tc>
          <w:tcPr>
            <w:tcW w:w="2797"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2.18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2.18</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1.36</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1.36</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1.23</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0" w:type="auto"/>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30218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专用材料费</w:t>
            </w:r>
          </w:p>
        </w:tc>
        <w:tc>
          <w:tcPr>
            <w:tcW w:w="145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1.8</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s="Times New Roman"/>
                <w:color w:val="000000"/>
                <w:sz w:val="22"/>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0.8</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4.25</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4.25</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209.24</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197.87</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r>
    </w:tbl>
    <w:p>
      <w:pPr>
        <w:sectPr>
          <w:pgSz w:w="16840" w:h="11900" w:orient="landscape"/>
          <w:pgMar w:top="1361" w:right="1020" w:bottom="1134" w:left="1020" w:header="720" w:footer="720" w:gutter="0"/>
          <w:cols w:space="720" w:num="1"/>
        </w:sectPr>
      </w:pPr>
    </w:p>
    <w:tbl>
      <w:tblPr>
        <w:tblStyle w:val="7"/>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3"/>
        <w:gridCol w:w="1776"/>
        <w:gridCol w:w="1776"/>
        <w:gridCol w:w="1063"/>
        <w:gridCol w:w="284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jc w:val="center"/>
        </w:trPr>
        <w:tc>
          <w:tcPr>
            <w:tcW w:w="11367"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237" w:tblpY="2447"/>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0"/>
        <w:gridCol w:w="2306"/>
        <w:gridCol w:w="2306"/>
        <w:gridCol w:w="1380"/>
        <w:gridCol w:w="3694"/>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1476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部门预算国有资本经营预算财政拨款支出表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372" w:type="dxa"/>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12"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before="0" w:after="0" w:line="240" w:lineRule="auto"/>
        <w:ind w:firstLine="1680" w:firstLineChars="8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tbl>
      <w:tblPr>
        <w:tblStyle w:val="7"/>
        <w:tblpPr w:leftFromText="180" w:rightFromText="180" w:vertAnchor="text" w:horzAnchor="page" w:tblpX="1027" w:tblpY="-7"/>
        <w:tblOverlap w:val="never"/>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1170"/>
        <w:gridCol w:w="1874"/>
        <w:gridCol w:w="2109"/>
        <w:gridCol w:w="1874"/>
        <w:gridCol w:w="1271"/>
        <w:gridCol w:w="2036"/>
        <w:gridCol w:w="187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1478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11034" w:type="dxa"/>
            <w:gridSpan w:val="7"/>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187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70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1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“三公”经费合计</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181"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7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70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9"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72"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7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357004</w:t>
            </w:r>
          </w:p>
        </w:tc>
        <w:tc>
          <w:tcPr>
            <w:tcW w:w="1874" w:type="dxa"/>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曹妃甸区文化馆</w:t>
            </w:r>
          </w:p>
        </w:tc>
        <w:tc>
          <w:tcPr>
            <w:tcW w:w="2109"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1872" w:type="dxa"/>
            <w:shd w:val="clear" w:color="auto" w:fill="auto"/>
            <w:noWrap/>
            <w:vAlign w:val="top"/>
          </w:tcPr>
          <w:p>
            <w:pPr>
              <w:jc w:val="right"/>
              <w:rPr>
                <w:rFonts w:hint="default" w:ascii="宋体" w:hAnsi="宋体" w:eastAsia="宋体" w:cs="宋体"/>
                <w:i w:val="0"/>
                <w:iCs w:val="0"/>
                <w:color w:val="000000"/>
                <w:sz w:val="22"/>
                <w:szCs w:val="22"/>
                <w:u w:val="none"/>
                <w:lang w:val="en-US"/>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曹妃甸区文化馆202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按照《预算法》、《地方预决算公开操作规程》和《关于进一步推进预算公开工作的实施意见》规定，现将曹妃甸区文化馆202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numPr>
          <w:ilvl w:val="0"/>
          <w:numId w:val="2"/>
        </w:numPr>
        <w:ind w:firstLine="1209" w:firstLineChars="432"/>
        <w:rPr>
          <w:rFonts w:hint="eastAsia" w:eastAsia="宋体"/>
          <w:lang w:val="en-US" w:eastAsia="zh-CN"/>
        </w:rPr>
      </w:pPr>
      <w:r>
        <w:rPr>
          <w:rFonts w:hint="eastAsia" w:eastAsia="宋体"/>
          <w:lang w:val="en-US" w:eastAsia="zh-CN"/>
        </w:rPr>
        <w:t>组织群众文化活动。</w:t>
      </w:r>
    </w:p>
    <w:p>
      <w:pPr>
        <w:pStyle w:val="20"/>
        <w:numPr>
          <w:ilvl w:val="0"/>
          <w:numId w:val="2"/>
        </w:numPr>
        <w:ind w:firstLine="1209" w:firstLineChars="432"/>
        <w:rPr>
          <w:rFonts w:hint="default" w:eastAsia="宋体"/>
          <w:lang w:val="en-US" w:eastAsia="zh-CN"/>
        </w:rPr>
      </w:pPr>
      <w:r>
        <w:rPr>
          <w:rFonts w:hint="eastAsia" w:eastAsia="宋体"/>
          <w:lang w:val="en-US" w:eastAsia="zh-CN"/>
        </w:rPr>
        <w:t>繁荣群众文化事业。</w:t>
      </w:r>
    </w:p>
    <w:p>
      <w:pPr>
        <w:pStyle w:val="20"/>
        <w:numPr>
          <w:ilvl w:val="0"/>
          <w:numId w:val="2"/>
        </w:numPr>
        <w:ind w:firstLine="1209" w:firstLineChars="432"/>
        <w:rPr>
          <w:rFonts w:hint="default" w:eastAsia="宋体"/>
          <w:lang w:val="en-US" w:eastAsia="zh-CN"/>
        </w:rPr>
      </w:pPr>
      <w:r>
        <w:rPr>
          <w:rFonts w:hint="eastAsia" w:eastAsia="宋体"/>
          <w:lang w:val="en-US" w:eastAsia="zh-CN"/>
        </w:rPr>
        <w:t>文化宣传、文化活动组织等相关培训。</w:t>
      </w:r>
    </w:p>
    <w:p>
      <w:pPr>
        <w:pStyle w:val="20"/>
        <w:numPr>
          <w:ilvl w:val="0"/>
          <w:numId w:val="2"/>
        </w:numPr>
        <w:ind w:firstLine="1209" w:firstLineChars="432"/>
        <w:rPr>
          <w:rFonts w:hint="default" w:eastAsia="宋体"/>
          <w:lang w:val="en-US" w:eastAsia="zh-CN"/>
        </w:rPr>
      </w:pPr>
      <w:r>
        <w:rPr>
          <w:rFonts w:hint="eastAsia" w:eastAsia="宋体"/>
          <w:lang w:val="en-US" w:eastAsia="zh-CN"/>
        </w:rPr>
        <w:t>业余创作组织。</w:t>
      </w:r>
    </w:p>
    <w:p>
      <w:pPr>
        <w:pStyle w:val="20"/>
        <w:numPr>
          <w:ilvl w:val="0"/>
          <w:numId w:val="2"/>
        </w:numPr>
        <w:ind w:firstLine="1209" w:firstLineChars="432"/>
        <w:rPr>
          <w:rFonts w:hint="default" w:eastAsia="宋体"/>
          <w:lang w:val="en-US" w:eastAsia="zh-CN"/>
        </w:rPr>
      </w:pPr>
      <w:r>
        <w:rPr>
          <w:rFonts w:hint="eastAsia" w:eastAsia="宋体"/>
          <w:lang w:val="en-US" w:eastAsia="zh-CN"/>
        </w:rPr>
        <w:t>授权管理唐海县文化市场。</w:t>
      </w:r>
    </w:p>
    <w:p>
      <w:pPr>
        <w:pStyle w:val="20"/>
        <w:numPr>
          <w:ilvl w:val="0"/>
          <w:numId w:val="2"/>
        </w:numPr>
        <w:ind w:firstLine="1209" w:firstLineChars="432"/>
        <w:rPr>
          <w:rFonts w:hint="default" w:eastAsia="宋体"/>
          <w:lang w:val="en-US" w:eastAsia="zh-CN"/>
        </w:rPr>
      </w:pPr>
      <w:r>
        <w:rPr>
          <w:rFonts w:hint="eastAsia" w:eastAsia="宋体"/>
          <w:lang w:val="en-US" w:eastAsia="zh-CN"/>
        </w:rPr>
        <w:t>村级文化室业务指导。</w:t>
      </w:r>
    </w:p>
    <w:p>
      <w:pPr>
        <w:pStyle w:val="20"/>
        <w:numPr>
          <w:ilvl w:val="0"/>
          <w:numId w:val="2"/>
        </w:numPr>
        <w:ind w:firstLine="1209" w:firstLineChars="432"/>
        <w:rPr>
          <w:rFonts w:hint="default" w:eastAsia="宋体"/>
          <w:lang w:val="en-US" w:eastAsia="zh-CN"/>
        </w:rPr>
      </w:pPr>
      <w:r>
        <w:rPr>
          <w:rFonts w:hint="eastAsia" w:eastAsia="宋体"/>
          <w:lang w:val="en-US" w:eastAsia="zh-CN"/>
        </w:rPr>
        <w:t>群众文艺理论研究。</w:t>
      </w:r>
    </w:p>
    <w:p>
      <w:pPr>
        <w:pStyle w:val="20"/>
        <w:numPr>
          <w:ilvl w:val="0"/>
          <w:numId w:val="2"/>
        </w:numPr>
        <w:ind w:firstLine="1209" w:firstLineChars="432"/>
        <w:rPr>
          <w:rFonts w:hint="default" w:eastAsia="宋体"/>
          <w:lang w:val="en-US" w:eastAsia="zh-CN"/>
        </w:rPr>
      </w:pPr>
      <w:r>
        <w:rPr>
          <w:rFonts w:hint="eastAsia" w:eastAsia="宋体"/>
          <w:lang w:val="en-US" w:eastAsia="zh-CN"/>
        </w:rPr>
        <w:t>文化交流。</w:t>
      </w:r>
    </w:p>
    <w:p>
      <w:pPr>
        <w:pStyle w:val="20"/>
        <w:numPr>
          <w:ilvl w:val="0"/>
          <w:numId w:val="2"/>
        </w:numPr>
        <w:ind w:firstLine="1209" w:firstLineChars="432"/>
        <w:rPr>
          <w:rFonts w:hint="default" w:eastAsia="宋体"/>
          <w:lang w:val="en-US" w:eastAsia="zh-CN"/>
        </w:rPr>
      </w:pPr>
      <w:r>
        <w:rPr>
          <w:rFonts w:hint="eastAsia" w:eastAsia="宋体"/>
          <w:lang w:val="en-US" w:eastAsia="zh-CN"/>
        </w:rPr>
        <w:t>大众科普资料编辑。</w:t>
      </w:r>
    </w:p>
    <w:p>
      <w:pPr>
        <w:pStyle w:val="20"/>
        <w:numPr>
          <w:ilvl w:val="0"/>
          <w:numId w:val="2"/>
        </w:numPr>
        <w:ind w:firstLine="1209" w:firstLineChars="432"/>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民族民间文化艺术遗产整理与保护。</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pPr>
            <w:r>
              <w:t>单位名称</w:t>
            </w:r>
          </w:p>
        </w:tc>
        <w:tc>
          <w:tcPr>
            <w:tcW w:w="1843" w:type="dxa"/>
            <w:noWrap w:val="0"/>
            <w:vAlign w:val="center"/>
          </w:tcPr>
          <w:p>
            <w:pPr>
              <w:pStyle w:val="13"/>
            </w:pPr>
            <w:r>
              <w:t>单位性质</w:t>
            </w:r>
          </w:p>
        </w:tc>
        <w:tc>
          <w:tcPr>
            <w:tcW w:w="2126" w:type="dxa"/>
            <w:noWrap w:val="0"/>
            <w:vAlign w:val="center"/>
          </w:tcPr>
          <w:p>
            <w:pPr>
              <w:pStyle w:val="13"/>
            </w:pPr>
            <w:r>
              <w:t>单位规格</w:t>
            </w:r>
          </w:p>
        </w:tc>
        <w:tc>
          <w:tcPr>
            <w:tcW w:w="3827"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pPr>
            <w:r>
              <w:t>曹妃甸区文化馆</w:t>
            </w:r>
          </w:p>
        </w:tc>
        <w:tc>
          <w:tcPr>
            <w:tcW w:w="1843" w:type="dxa"/>
            <w:noWrap w:val="0"/>
            <w:vAlign w:val="center"/>
          </w:tcPr>
          <w:p>
            <w:pPr>
              <w:pStyle w:val="16"/>
            </w:pPr>
            <w:r>
              <w:t>事业</w:t>
            </w:r>
          </w:p>
        </w:tc>
        <w:tc>
          <w:tcPr>
            <w:tcW w:w="2126" w:type="dxa"/>
            <w:noWrap w:val="0"/>
            <w:vAlign w:val="center"/>
          </w:tcPr>
          <w:p>
            <w:pPr>
              <w:pStyle w:val="16"/>
            </w:pPr>
            <w:r>
              <w:t>股级</w:t>
            </w:r>
          </w:p>
        </w:tc>
        <w:tc>
          <w:tcPr>
            <w:tcW w:w="3827" w:type="dxa"/>
            <w:noWrap w:val="0"/>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autoSpaceDE w:val="0"/>
        <w:autoSpaceDN w:val="0"/>
        <w:adjustRightInd w:val="0"/>
        <w:ind w:firstLine="640"/>
        <w:rPr>
          <w:kern w:val="0"/>
          <w:sz w:val="32"/>
          <w:szCs w:val="32"/>
        </w:rPr>
      </w:pPr>
      <w:bookmarkStart w:id="17" w:name="_GoBack"/>
      <w:bookmarkEnd w:id="17"/>
      <w:r>
        <w:rPr>
          <w:rFonts w:eastAsia="黑体"/>
          <w:kern w:val="0"/>
          <w:sz w:val="32"/>
          <w:szCs w:val="32"/>
        </w:rPr>
        <w:t>1</w:t>
      </w:r>
      <w:r>
        <w:rPr>
          <w:rFonts w:hint="eastAsia" w:ascii="宋体" w:cs="宋体"/>
          <w:kern w:val="0"/>
          <w:sz w:val="32"/>
          <w:szCs w:val="32"/>
          <w:lang w:val="zh-CN"/>
        </w:rPr>
        <w:t>、收入说明</w:t>
      </w:r>
      <w:r>
        <w:rPr>
          <w:kern w:val="0"/>
          <w:sz w:val="32"/>
          <w:szCs w:val="32"/>
        </w:rPr>
        <w:t xml:space="preserve"> </w:t>
      </w:r>
    </w:p>
    <w:p>
      <w:pPr>
        <w:autoSpaceDE w:val="0"/>
        <w:autoSpaceDN w:val="0"/>
        <w:adjustRightInd w:val="0"/>
        <w:ind w:firstLine="640"/>
        <w:rPr>
          <w:rFonts w:ascii="宋体" w:cs="宋体"/>
          <w:kern w:val="0"/>
          <w:sz w:val="32"/>
          <w:szCs w:val="32"/>
          <w:lang w:val="zh-CN"/>
        </w:rPr>
      </w:pPr>
      <w:r>
        <w:rPr>
          <w:rFonts w:hint="eastAsia" w:ascii="宋体" w:cs="宋体"/>
          <w:kern w:val="0"/>
          <w:sz w:val="32"/>
          <w:szCs w:val="32"/>
          <w:lang w:val="zh-CN"/>
        </w:rPr>
        <w:t>本单位当年全部收入，</w:t>
      </w:r>
      <w:r>
        <w:rPr>
          <w:rFonts w:hint="eastAsia" w:ascii="宋体" w:cs="宋体"/>
          <w:kern w:val="0"/>
          <w:sz w:val="32"/>
          <w:szCs w:val="32"/>
          <w:lang w:val="en-US" w:eastAsia="zh-CN"/>
        </w:rPr>
        <w:t>2021</w:t>
      </w:r>
      <w:r>
        <w:rPr>
          <w:rFonts w:hint="eastAsia" w:ascii="宋体" w:cs="宋体"/>
          <w:kern w:val="0"/>
          <w:sz w:val="32"/>
          <w:szCs w:val="32"/>
          <w:lang w:val="zh-CN"/>
        </w:rPr>
        <w:t>年预算收入</w:t>
      </w:r>
      <w:r>
        <w:rPr>
          <w:rFonts w:hint="eastAsia" w:ascii="宋体" w:cs="宋体"/>
          <w:kern w:val="0"/>
          <w:sz w:val="32"/>
          <w:szCs w:val="32"/>
          <w:lang w:val="en-US" w:eastAsia="zh-CN"/>
        </w:rPr>
        <w:t>293.24</w:t>
      </w:r>
      <w:r>
        <w:rPr>
          <w:rFonts w:hint="eastAsia" w:ascii="宋体" w:cs="宋体"/>
          <w:kern w:val="0"/>
          <w:sz w:val="32"/>
          <w:szCs w:val="32"/>
          <w:lang w:val="zh-CN"/>
        </w:rPr>
        <w:t>万元，</w:t>
      </w:r>
      <w:r>
        <w:rPr>
          <w:rFonts w:hint="eastAsia" w:ascii="宋体" w:hAnsi="宋体" w:cs="宋体"/>
          <w:sz w:val="32"/>
          <w:szCs w:val="32"/>
        </w:rPr>
        <w:t>全部为一般公共预算收入</w:t>
      </w:r>
      <w:r>
        <w:rPr>
          <w:rFonts w:hint="eastAsia" w:ascii="宋体" w:cs="宋体"/>
          <w:kern w:val="0"/>
          <w:sz w:val="32"/>
          <w:szCs w:val="32"/>
          <w:lang w:val="zh-CN"/>
        </w:rPr>
        <w:t>。</w:t>
      </w:r>
    </w:p>
    <w:p>
      <w:pPr>
        <w:autoSpaceDE w:val="0"/>
        <w:autoSpaceDN w:val="0"/>
        <w:adjustRightInd w:val="0"/>
        <w:ind w:firstLine="640"/>
        <w:rPr>
          <w:rFonts w:ascii="宋体" w:cs="宋体"/>
          <w:kern w:val="0"/>
          <w:sz w:val="32"/>
          <w:szCs w:val="32"/>
          <w:lang w:val="zh-CN"/>
        </w:rPr>
      </w:pPr>
      <w:r>
        <w:rPr>
          <w:rFonts w:hint="eastAsia" w:ascii="宋体" w:cs="宋体"/>
          <w:b/>
          <w:bCs/>
          <w:kern w:val="0"/>
          <w:sz w:val="32"/>
          <w:szCs w:val="32"/>
        </w:rPr>
        <w:t>2</w:t>
      </w:r>
      <w:r>
        <w:rPr>
          <w:rFonts w:hint="eastAsia" w:ascii="宋体" w:cs="宋体"/>
          <w:kern w:val="0"/>
          <w:sz w:val="32"/>
          <w:szCs w:val="32"/>
        </w:rPr>
        <w:t>、</w:t>
      </w:r>
      <w:r>
        <w:rPr>
          <w:rFonts w:hint="eastAsia" w:ascii="宋体" w:cs="宋体"/>
          <w:kern w:val="0"/>
          <w:sz w:val="32"/>
          <w:szCs w:val="32"/>
          <w:lang w:val="zh-CN"/>
        </w:rPr>
        <w:t>支出说明</w:t>
      </w:r>
    </w:p>
    <w:p>
      <w:pPr>
        <w:autoSpaceDE w:val="0"/>
        <w:autoSpaceDN w:val="0"/>
        <w:adjustRightInd w:val="0"/>
        <w:rPr>
          <w:rFonts w:ascii="宋体" w:cs="宋体"/>
          <w:kern w:val="0"/>
          <w:sz w:val="32"/>
          <w:szCs w:val="32"/>
          <w:lang w:val="zh-CN"/>
        </w:rPr>
      </w:pPr>
      <w:r>
        <w:rPr>
          <w:rFonts w:ascii="宋体" w:cs="宋体"/>
          <w:kern w:val="0"/>
          <w:sz w:val="32"/>
          <w:szCs w:val="32"/>
          <w:lang w:val="zh-CN"/>
        </w:rPr>
        <w:t xml:space="preserve">     </w:t>
      </w:r>
      <w:r>
        <w:rPr>
          <w:rFonts w:hint="eastAsia" w:ascii="宋体" w:cs="宋体"/>
          <w:kern w:val="0"/>
          <w:sz w:val="32"/>
          <w:szCs w:val="32"/>
          <w:lang w:val="zh-CN"/>
        </w:rPr>
        <w:t>收支预算总表支出栏、基本支出表、项目支出表按经济分类和支出功能分类科目编制，反映唐山市曹妃甸区文化</w:t>
      </w:r>
      <w:r>
        <w:rPr>
          <w:rFonts w:hint="eastAsia" w:ascii="宋体" w:cs="宋体"/>
          <w:kern w:val="0"/>
          <w:sz w:val="32"/>
          <w:szCs w:val="32"/>
          <w:lang w:val="en-US" w:eastAsia="zh-CN"/>
        </w:rPr>
        <w:t>馆</w:t>
      </w:r>
      <w:r>
        <w:rPr>
          <w:rFonts w:hint="eastAsia" w:ascii="宋体" w:cs="宋体"/>
          <w:kern w:val="0"/>
          <w:sz w:val="32"/>
          <w:szCs w:val="32"/>
          <w:lang w:val="zh-CN"/>
        </w:rPr>
        <w:t>年度部门预算中支出预算的总体情况。</w:t>
      </w:r>
      <w:r>
        <w:rPr>
          <w:rFonts w:hint="eastAsia" w:ascii="宋体" w:cs="宋体"/>
          <w:kern w:val="0"/>
          <w:sz w:val="32"/>
          <w:szCs w:val="32"/>
          <w:lang w:val="en-US" w:eastAsia="zh-CN"/>
        </w:rPr>
        <w:t>2021</w:t>
      </w:r>
      <w:r>
        <w:rPr>
          <w:rFonts w:hint="eastAsia" w:ascii="宋体" w:cs="宋体"/>
          <w:kern w:val="0"/>
          <w:sz w:val="32"/>
          <w:szCs w:val="32"/>
          <w:lang w:val="zh-CN"/>
        </w:rPr>
        <w:t>年部门支出预算为</w:t>
      </w:r>
      <w:r>
        <w:rPr>
          <w:rFonts w:hint="eastAsia" w:ascii="宋体" w:cs="宋体"/>
          <w:kern w:val="0"/>
          <w:sz w:val="32"/>
          <w:szCs w:val="32"/>
          <w:lang w:val="en-US" w:eastAsia="zh-CN"/>
        </w:rPr>
        <w:t>293.24</w:t>
      </w:r>
      <w:r>
        <w:rPr>
          <w:rFonts w:hint="eastAsia" w:ascii="宋体" w:cs="宋体"/>
          <w:kern w:val="0"/>
          <w:sz w:val="32"/>
          <w:szCs w:val="32"/>
          <w:lang w:val="zh-CN"/>
        </w:rPr>
        <w:t>万元，其中基本支出</w:t>
      </w:r>
      <w:r>
        <w:rPr>
          <w:rFonts w:hint="eastAsia" w:ascii="宋体" w:cs="宋体"/>
          <w:kern w:val="0"/>
          <w:sz w:val="32"/>
          <w:szCs w:val="32"/>
          <w:lang w:val="en-US" w:eastAsia="zh-CN"/>
        </w:rPr>
        <w:t>209.24</w:t>
      </w:r>
      <w:r>
        <w:rPr>
          <w:rFonts w:hint="eastAsia" w:ascii="宋体" w:cs="宋体"/>
          <w:kern w:val="0"/>
          <w:sz w:val="32"/>
          <w:szCs w:val="32"/>
          <w:lang w:val="zh-CN"/>
        </w:rPr>
        <w:t>万元，包括人员经费</w:t>
      </w:r>
      <w:r>
        <w:rPr>
          <w:rFonts w:hint="eastAsia" w:ascii="宋体" w:cs="宋体"/>
          <w:kern w:val="0"/>
          <w:sz w:val="32"/>
          <w:szCs w:val="32"/>
          <w:lang w:val="en-US" w:eastAsia="zh-CN"/>
        </w:rPr>
        <w:t>197.87</w:t>
      </w:r>
      <w:r>
        <w:rPr>
          <w:rFonts w:hint="eastAsia" w:ascii="宋体" w:cs="宋体"/>
          <w:kern w:val="0"/>
          <w:sz w:val="32"/>
          <w:szCs w:val="32"/>
          <w:lang w:val="zh-CN"/>
        </w:rPr>
        <w:t>万元和公用经费</w:t>
      </w:r>
      <w:r>
        <w:rPr>
          <w:rFonts w:hint="eastAsia" w:ascii="宋体" w:cs="宋体"/>
          <w:kern w:val="0"/>
          <w:sz w:val="32"/>
          <w:szCs w:val="32"/>
          <w:lang w:val="en-US" w:eastAsia="zh-CN"/>
        </w:rPr>
        <w:t>11.37</w:t>
      </w:r>
      <w:r>
        <w:rPr>
          <w:rFonts w:hint="eastAsia" w:ascii="宋体" w:cs="宋体"/>
          <w:kern w:val="0"/>
          <w:sz w:val="32"/>
          <w:szCs w:val="32"/>
          <w:lang w:val="zh-CN"/>
        </w:rPr>
        <w:t>万元；项目支出</w:t>
      </w:r>
      <w:r>
        <w:rPr>
          <w:rFonts w:hint="eastAsia" w:ascii="宋体" w:cs="宋体"/>
          <w:kern w:val="0"/>
          <w:sz w:val="32"/>
          <w:szCs w:val="32"/>
          <w:lang w:val="en-US" w:eastAsia="zh-CN"/>
        </w:rPr>
        <w:t>84</w:t>
      </w:r>
      <w:r>
        <w:rPr>
          <w:rFonts w:hint="eastAsia" w:ascii="宋体" w:cs="宋体"/>
          <w:kern w:val="0"/>
          <w:sz w:val="32"/>
          <w:szCs w:val="32"/>
          <w:lang w:val="zh-CN"/>
        </w:rPr>
        <w:t>万元，</w:t>
      </w:r>
      <w:r>
        <w:rPr>
          <w:rFonts w:hint="eastAsia" w:ascii="宋体" w:cs="宋体"/>
          <w:kern w:val="0"/>
          <w:sz w:val="32"/>
          <w:szCs w:val="32"/>
        </w:rPr>
        <w:t>全部为本级支出</w:t>
      </w:r>
      <w:r>
        <w:rPr>
          <w:rFonts w:hint="eastAsia" w:ascii="宋体" w:cs="宋体"/>
          <w:kern w:val="0"/>
          <w:sz w:val="32"/>
          <w:szCs w:val="32"/>
          <w:lang w:val="zh-CN"/>
        </w:rPr>
        <w:t>。</w:t>
      </w:r>
    </w:p>
    <w:p>
      <w:pPr>
        <w:autoSpaceDE w:val="0"/>
        <w:autoSpaceDN w:val="0"/>
        <w:adjustRightInd w:val="0"/>
        <w:ind w:firstLine="640"/>
        <w:rPr>
          <w:kern w:val="0"/>
          <w:sz w:val="32"/>
          <w:szCs w:val="32"/>
        </w:rPr>
      </w:pPr>
      <w:r>
        <w:rPr>
          <w:rFonts w:hint="eastAsia" w:ascii="宋体" w:cs="宋体"/>
          <w:b/>
          <w:bCs/>
          <w:kern w:val="0"/>
          <w:sz w:val="32"/>
          <w:szCs w:val="32"/>
        </w:rPr>
        <w:t>3</w:t>
      </w:r>
      <w:r>
        <w:rPr>
          <w:rFonts w:hint="eastAsia" w:ascii="宋体" w:cs="宋体"/>
          <w:kern w:val="0"/>
          <w:sz w:val="32"/>
          <w:szCs w:val="32"/>
        </w:rPr>
        <w:t>、</w:t>
      </w:r>
      <w:r>
        <w:rPr>
          <w:rFonts w:hint="eastAsia" w:ascii="宋体" w:cs="宋体"/>
          <w:kern w:val="0"/>
          <w:sz w:val="32"/>
          <w:szCs w:val="32"/>
          <w:lang w:val="zh-CN"/>
        </w:rPr>
        <w:t>比上年增减情况</w:t>
      </w:r>
    </w:p>
    <w:p>
      <w:pPr>
        <w:autoSpaceDE w:val="0"/>
        <w:autoSpaceDN w:val="0"/>
        <w:adjustRightInd w:val="0"/>
        <w:rPr>
          <w:rFonts w:ascii="??_GB2312" w:hAnsi="??_GB2312" w:cs="??_GB2312"/>
          <w:kern w:val="0"/>
          <w:sz w:val="32"/>
          <w:szCs w:val="32"/>
        </w:rPr>
      </w:pPr>
      <w:r>
        <w:rPr>
          <w:kern w:val="0"/>
          <w:sz w:val="32"/>
          <w:szCs w:val="32"/>
        </w:rPr>
        <w:t xml:space="preserve">   </w:t>
      </w:r>
      <w:r>
        <w:rPr>
          <w:rFonts w:hint="eastAsia" w:ascii="??_GB2312" w:hAnsi="??_GB2312" w:cs="??_GB2312"/>
          <w:kern w:val="0"/>
          <w:sz w:val="32"/>
          <w:szCs w:val="32"/>
          <w:lang w:val="en-US" w:eastAsia="zh-CN"/>
        </w:rPr>
        <w:t>2021</w:t>
      </w:r>
      <w:r>
        <w:rPr>
          <w:rFonts w:hint="eastAsia" w:ascii="宋体" w:hAnsi="??_GB2312" w:cs="宋体"/>
          <w:kern w:val="0"/>
          <w:sz w:val="32"/>
          <w:szCs w:val="32"/>
          <w:lang w:val="zh-CN"/>
        </w:rPr>
        <w:t>年部门预算与</w:t>
      </w:r>
      <w:r>
        <w:rPr>
          <w:rFonts w:hint="eastAsia" w:ascii="??_GB2312" w:hAnsi="??_GB2312" w:cs="??_GB2312"/>
          <w:kern w:val="0"/>
          <w:sz w:val="32"/>
          <w:szCs w:val="32"/>
          <w:lang w:val="en-US" w:eastAsia="zh-CN"/>
        </w:rPr>
        <w:t>2020</w:t>
      </w:r>
      <w:r>
        <w:rPr>
          <w:rFonts w:hint="eastAsia" w:ascii="宋体" w:hAnsi="??_GB2312" w:cs="宋体"/>
          <w:kern w:val="0"/>
          <w:sz w:val="32"/>
          <w:szCs w:val="32"/>
          <w:lang w:val="zh-CN"/>
        </w:rPr>
        <w:t>年相比</w:t>
      </w:r>
      <w:r>
        <w:rPr>
          <w:rFonts w:hint="eastAsia" w:ascii="宋体" w:hAnsi="??_GB2312" w:cs="宋体"/>
          <w:kern w:val="0"/>
          <w:sz w:val="32"/>
          <w:szCs w:val="32"/>
          <w:lang w:val="en-US" w:eastAsia="zh-CN"/>
        </w:rPr>
        <w:t>增加</w:t>
      </w:r>
      <w:r>
        <w:rPr>
          <w:rFonts w:hint="eastAsia" w:ascii="宋体" w:hAnsi="??_GB2312" w:cs="宋体"/>
          <w:kern w:val="0"/>
          <w:sz w:val="32"/>
          <w:szCs w:val="32"/>
        </w:rPr>
        <w:t>了</w:t>
      </w:r>
      <w:r>
        <w:rPr>
          <w:rFonts w:hint="eastAsia" w:ascii="宋体" w:hAnsi="??_GB2312" w:cs="宋体"/>
          <w:kern w:val="0"/>
          <w:sz w:val="32"/>
          <w:szCs w:val="32"/>
          <w:lang w:val="en-US" w:eastAsia="zh-CN"/>
        </w:rPr>
        <w:t>1.22</w:t>
      </w:r>
      <w:r>
        <w:rPr>
          <w:rFonts w:hint="eastAsia" w:ascii="宋体" w:hAnsi="??_GB2312" w:cs="宋体"/>
          <w:kern w:val="0"/>
          <w:sz w:val="32"/>
          <w:szCs w:val="32"/>
        </w:rPr>
        <w:t>万元</w:t>
      </w:r>
      <w:r>
        <w:rPr>
          <w:rFonts w:hint="eastAsia" w:ascii="宋体" w:hAnsi="??_GB2312" w:cs="宋体"/>
          <w:kern w:val="0"/>
          <w:sz w:val="32"/>
          <w:szCs w:val="32"/>
          <w:lang w:val="zh-CN"/>
        </w:rPr>
        <w:t>，</w:t>
      </w:r>
      <w:r>
        <w:rPr>
          <w:rFonts w:hint="eastAsia" w:ascii="宋体" w:hAnsi="??_GB2312" w:cs="宋体"/>
          <w:kern w:val="0"/>
          <w:sz w:val="32"/>
          <w:szCs w:val="32"/>
        </w:rPr>
        <w:t>主要是因</w:t>
      </w:r>
      <w:r>
        <w:rPr>
          <w:rFonts w:hint="eastAsia" w:ascii="宋体" w:hAnsi="??_GB2312" w:cs="宋体"/>
          <w:kern w:val="0"/>
          <w:sz w:val="32"/>
          <w:szCs w:val="32"/>
          <w:lang w:val="en-US" w:eastAsia="zh-CN"/>
        </w:rPr>
        <w:t>为人员经费增加</w:t>
      </w:r>
      <w:r>
        <w:rPr>
          <w:rFonts w:hint="eastAsia" w:ascii="宋体" w:hAnsi="??_GB2312" w:cs="宋体"/>
          <w:kern w:val="0"/>
          <w:sz w:val="32"/>
          <w:szCs w:val="32"/>
          <w:lang w:eastAsia="zh-CN"/>
        </w:rPr>
        <w:t>，</w:t>
      </w:r>
      <w:r>
        <w:rPr>
          <w:rFonts w:hint="eastAsia" w:ascii="宋体" w:hAnsi="??_GB2312" w:cs="宋体"/>
          <w:kern w:val="0"/>
          <w:sz w:val="32"/>
          <w:szCs w:val="32"/>
          <w:lang w:val="en-US" w:eastAsia="zh-CN"/>
        </w:rPr>
        <w:t>2020年项目支出减少了22.7万元</w:t>
      </w:r>
      <w:r>
        <w:rPr>
          <w:rFonts w:hint="eastAsia" w:ascii="宋体" w:hAnsi="宋体" w:cs="宋体"/>
          <w:sz w:val="32"/>
          <w:szCs w:val="32"/>
        </w:rPr>
        <w:t>；</w:t>
      </w:r>
      <w:r>
        <w:rPr>
          <w:rFonts w:hint="eastAsia" w:ascii="宋体" w:hAnsi="??_GB2312" w:cs="宋体"/>
          <w:kern w:val="0"/>
          <w:sz w:val="32"/>
          <w:szCs w:val="32"/>
          <w:lang w:val="zh-CN"/>
        </w:rPr>
        <w:t>基本支出</w:t>
      </w:r>
      <w:r>
        <w:rPr>
          <w:rFonts w:hint="eastAsia" w:ascii="宋体" w:hAnsi="??_GB2312" w:cs="宋体"/>
          <w:kern w:val="0"/>
          <w:sz w:val="32"/>
          <w:szCs w:val="32"/>
        </w:rPr>
        <w:t>中人员经费</w:t>
      </w:r>
      <w:r>
        <w:rPr>
          <w:rFonts w:hint="eastAsia" w:ascii="宋体" w:hAnsi="??_GB2312" w:cs="宋体"/>
          <w:kern w:val="0"/>
          <w:sz w:val="32"/>
          <w:szCs w:val="32"/>
          <w:lang w:val="en-US" w:eastAsia="zh-CN"/>
        </w:rPr>
        <w:t>增加的23.99</w:t>
      </w:r>
      <w:r>
        <w:rPr>
          <w:rFonts w:hint="eastAsia" w:ascii="宋体" w:hAnsi="??_GB2312" w:cs="宋体"/>
          <w:kern w:val="0"/>
          <w:sz w:val="32"/>
          <w:szCs w:val="32"/>
        </w:rPr>
        <w:t>万元，公用经费</w:t>
      </w:r>
      <w:r>
        <w:rPr>
          <w:rFonts w:hint="eastAsia" w:ascii="宋体" w:hAnsi="??_GB2312" w:cs="宋体"/>
          <w:kern w:val="0"/>
          <w:sz w:val="32"/>
          <w:szCs w:val="32"/>
          <w:lang w:val="en-US" w:eastAsia="zh-CN"/>
        </w:rPr>
        <w:t>减少0.07</w:t>
      </w:r>
      <w:r>
        <w:rPr>
          <w:rFonts w:hint="eastAsia" w:ascii="宋体" w:hAnsi="??_GB2312" w:cs="宋体"/>
          <w:kern w:val="0"/>
          <w:sz w:val="32"/>
          <w:szCs w:val="32"/>
        </w:rPr>
        <w:t>万元。</w:t>
      </w:r>
    </w:p>
    <w:p>
      <w:pPr>
        <w:numPr>
          <w:ilvl w:val="0"/>
          <w:numId w:val="3"/>
        </w:numPr>
        <w:autoSpaceDE w:val="0"/>
        <w:autoSpaceDN w:val="0"/>
        <w:adjustRightInd w:val="0"/>
        <w:ind w:firstLine="640"/>
        <w:jc w:val="left"/>
        <w:rPr>
          <w:rFonts w:hint="eastAsia" w:ascii="黑体" w:hAnsi="??_GB2312" w:eastAsia="黑体" w:cs="黑体"/>
          <w:kern w:val="0"/>
          <w:sz w:val="32"/>
          <w:szCs w:val="32"/>
          <w:lang w:val="zh-CN"/>
        </w:rPr>
      </w:pPr>
      <w:r>
        <w:rPr>
          <w:rFonts w:hint="eastAsia" w:ascii="黑体" w:hAnsi="??_GB2312" w:eastAsia="黑体" w:cs="黑体"/>
          <w:kern w:val="0"/>
          <w:sz w:val="32"/>
          <w:szCs w:val="32"/>
          <w:lang w:val="zh-CN"/>
        </w:rPr>
        <w:t>机关运行经费安排情况</w:t>
      </w:r>
    </w:p>
    <w:p>
      <w:pPr>
        <w:numPr>
          <w:ilvl w:val="0"/>
          <w:numId w:val="0"/>
        </w:numPr>
        <w:autoSpaceDE w:val="0"/>
        <w:autoSpaceDN w:val="0"/>
        <w:adjustRightInd w:val="0"/>
        <w:jc w:val="left"/>
        <w:rPr>
          <w:rFonts w:hint="default" w:ascii="Times New Roman" w:hAnsi="Times New Roman" w:eastAsia="黑体" w:cs="Times New Roman"/>
          <w:b w:val="0"/>
          <w:bCs w:val="0"/>
          <w:kern w:val="0"/>
          <w:sz w:val="32"/>
          <w:szCs w:val="32"/>
          <w:lang w:val="en-US" w:eastAsia="zh-CN"/>
        </w:rPr>
      </w:pPr>
      <w:r>
        <w:rPr>
          <w:rFonts w:hint="eastAsia" w:ascii="黑体" w:hAnsi="??_GB2312" w:eastAsia="黑体" w:cs="黑体"/>
          <w:kern w:val="0"/>
          <w:sz w:val="32"/>
          <w:szCs w:val="32"/>
          <w:lang w:val="en-US" w:eastAsia="zh-CN"/>
        </w:rPr>
        <w:t xml:space="preserve">  </w:t>
      </w:r>
      <w:r>
        <w:rPr>
          <w:rFonts w:hint="default" w:ascii="Times New Roman" w:hAnsi="Times New Roman" w:eastAsia="黑体" w:cs="Times New Roman"/>
          <w:b w:val="0"/>
          <w:bCs w:val="0"/>
          <w:kern w:val="0"/>
          <w:sz w:val="32"/>
          <w:szCs w:val="32"/>
          <w:lang w:val="en-US" w:eastAsia="zh-CN"/>
        </w:rPr>
        <w:t xml:space="preserve"> 机关运行经费共计安排0万元，主要用于保证机关正常运转的办公及印刷费、邮电费、差旅费、培训费、会议费、福利费、一般设备购置费、日常维修费、办公楼物业管理费、公务车运行维护费等支出。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ascii="??_GB2312" w:hAnsi="??_GB2312" w:cs="??_GB2312"/>
          <w:sz w:val="32"/>
          <w:szCs w:val="32"/>
        </w:rPr>
        <w:t>20</w:t>
      </w:r>
      <w:r>
        <w:rPr>
          <w:rFonts w:hint="eastAsia" w:ascii="??_GB2312" w:hAnsi="??_GB2312" w:cs="??_GB2312"/>
          <w:sz w:val="32"/>
          <w:szCs w:val="32"/>
        </w:rPr>
        <w:t>2</w:t>
      </w:r>
      <w:r>
        <w:rPr>
          <w:rFonts w:hint="eastAsia" w:ascii="??_GB2312" w:hAnsi="??_GB2312" w:cs="??_GB2312"/>
          <w:sz w:val="32"/>
          <w:szCs w:val="32"/>
          <w:lang w:val="en-US" w:eastAsia="zh-CN"/>
        </w:rPr>
        <w:t>1</w:t>
      </w:r>
      <w:r>
        <w:rPr>
          <w:rFonts w:hint="eastAsia" w:ascii="宋体" w:hAnsi="宋体" w:cs="宋体"/>
          <w:sz w:val="32"/>
          <w:szCs w:val="32"/>
        </w:rPr>
        <w:t>年，</w:t>
      </w:r>
      <w:r>
        <w:rPr>
          <w:rFonts w:hint="eastAsia" w:ascii="宋体" w:hAnsi="宋体" w:cs="宋体"/>
          <w:sz w:val="32"/>
          <w:szCs w:val="32"/>
          <w:lang w:val="en-US" w:eastAsia="zh-CN"/>
        </w:rPr>
        <w:t>财政拨款</w:t>
      </w:r>
      <w:r>
        <w:rPr>
          <w:rFonts w:hint="eastAsia" w:ascii="宋体" w:hAnsi="宋体" w:eastAsia="宋体" w:cs="宋体"/>
          <w:sz w:val="32"/>
          <w:szCs w:val="32"/>
        </w:rPr>
        <w:t>“三公”经费预算情况及增减变化原因：202</w:t>
      </w:r>
      <w:r>
        <w:rPr>
          <w:rFonts w:hint="eastAsia" w:ascii="宋体" w:hAnsi="宋体" w:cs="宋体"/>
          <w:sz w:val="32"/>
          <w:szCs w:val="32"/>
          <w:lang w:val="en-US" w:eastAsia="zh-CN"/>
        </w:rPr>
        <w:t>1</w:t>
      </w:r>
      <w:r>
        <w:rPr>
          <w:rFonts w:hint="eastAsia" w:ascii="宋体" w:hAnsi="宋体" w:eastAsia="宋体" w:cs="宋体"/>
          <w:sz w:val="32"/>
          <w:szCs w:val="32"/>
        </w:rPr>
        <w:t>年我部门财政拨款“三公”经费预算安排</w:t>
      </w:r>
      <w:r>
        <w:rPr>
          <w:rFonts w:hint="eastAsia" w:ascii="宋体" w:hAnsi="宋体" w:cs="宋体"/>
          <w:sz w:val="32"/>
          <w:szCs w:val="32"/>
          <w:lang w:val="en-US" w:eastAsia="zh-CN"/>
        </w:rPr>
        <w:t>5.1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_GB2312" w:cs="宋体"/>
          <w:kern w:val="0"/>
          <w:sz w:val="32"/>
          <w:szCs w:val="32"/>
          <w:lang w:val="zh-CN"/>
        </w:rPr>
        <w:t>比20</w:t>
      </w:r>
      <w:r>
        <w:rPr>
          <w:rFonts w:hint="eastAsia" w:ascii="宋体" w:hAnsi="??_GB2312" w:cs="宋体"/>
          <w:kern w:val="0"/>
          <w:sz w:val="32"/>
          <w:szCs w:val="32"/>
          <w:lang w:val="en-US" w:eastAsia="zh-CN"/>
        </w:rPr>
        <w:t>20</w:t>
      </w:r>
      <w:r>
        <w:rPr>
          <w:rFonts w:hint="eastAsia" w:ascii="宋体" w:hAnsi="??_GB2312" w:cs="宋体"/>
          <w:kern w:val="0"/>
          <w:sz w:val="32"/>
          <w:szCs w:val="32"/>
          <w:lang w:val="zh-CN"/>
        </w:rPr>
        <w:t>年“三公经费”增加了</w:t>
      </w:r>
      <w:r>
        <w:rPr>
          <w:rFonts w:hint="eastAsia" w:ascii="宋体" w:hAnsi="??_GB2312" w:cs="宋体"/>
          <w:kern w:val="0"/>
          <w:sz w:val="32"/>
          <w:szCs w:val="32"/>
          <w:lang w:val="en-US" w:eastAsia="zh-CN"/>
        </w:rPr>
        <w:t>5.1</w:t>
      </w:r>
      <w:r>
        <w:rPr>
          <w:rFonts w:hint="eastAsia" w:ascii="宋体" w:hAnsi="??_GB2312" w:cs="宋体"/>
          <w:kern w:val="0"/>
          <w:sz w:val="32"/>
          <w:szCs w:val="32"/>
          <w:lang w:val="zh-CN"/>
        </w:rPr>
        <w:t>万元</w:t>
      </w:r>
      <w:r>
        <w:rPr>
          <w:rFonts w:hint="eastAsia" w:ascii="宋体" w:hAnsi="宋体" w:eastAsia="宋体" w:cs="宋体"/>
          <w:sz w:val="32"/>
          <w:szCs w:val="32"/>
        </w:rPr>
        <w:t>，具体安排情况为：</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宋体" w:cs="宋体"/>
          <w:sz w:val="32"/>
          <w:szCs w:val="32"/>
        </w:rPr>
        <w:t>公务用车购置及运维费。共计安排</w:t>
      </w:r>
      <w:r>
        <w:rPr>
          <w:rFonts w:hint="eastAsia" w:ascii="宋体" w:hAnsi="宋体" w:cs="宋体"/>
          <w:sz w:val="32"/>
          <w:szCs w:val="32"/>
          <w:lang w:val="en-US" w:eastAsia="zh-CN"/>
        </w:rPr>
        <w:t>5.1</w:t>
      </w:r>
      <w:r>
        <w:rPr>
          <w:rFonts w:hint="eastAsia" w:ascii="宋体" w:hAnsi="宋体" w:cs="宋体"/>
          <w:sz w:val="32"/>
          <w:szCs w:val="32"/>
        </w:rPr>
        <w:t>万元，较上年预算</w:t>
      </w:r>
      <w:r>
        <w:rPr>
          <w:rFonts w:hint="eastAsia" w:ascii="宋体" w:hAnsi="宋体" w:cs="宋体"/>
          <w:sz w:val="32"/>
          <w:szCs w:val="32"/>
          <w:lang w:val="en-US" w:eastAsia="zh-CN"/>
        </w:rPr>
        <w:t>增加5.1</w:t>
      </w:r>
      <w:r>
        <w:rPr>
          <w:rFonts w:hint="eastAsia" w:ascii="宋体" w:hAnsi="宋体" w:cs="宋体"/>
          <w:sz w:val="32"/>
          <w:szCs w:val="32"/>
        </w:rPr>
        <w:t>万元。</w:t>
      </w:r>
      <w:r>
        <w:rPr>
          <w:rFonts w:hint="eastAsia" w:ascii="宋体" w:hAnsi="宋体" w:cs="宋体"/>
          <w:sz w:val="32"/>
          <w:szCs w:val="32"/>
          <w:lang w:eastAsia="zh-CN"/>
        </w:rPr>
        <w:t>（</w:t>
      </w:r>
      <w:r>
        <w:rPr>
          <w:rFonts w:ascii="宋体" w:hAnsi="宋体" w:cs="宋体"/>
          <w:sz w:val="32"/>
          <w:szCs w:val="32"/>
        </w:rPr>
        <w:t>1</w:t>
      </w:r>
      <w:r>
        <w:rPr>
          <w:rFonts w:hint="eastAsia" w:ascii="宋体" w:hAnsi="宋体" w:cs="宋体"/>
          <w:sz w:val="32"/>
          <w:szCs w:val="32"/>
        </w:rPr>
        <w:t>）公务用车购置安排</w:t>
      </w:r>
      <w:r>
        <w:rPr>
          <w:rFonts w:hint="eastAsia" w:ascii="宋体" w:hAnsi="宋体" w:cs="宋体"/>
          <w:sz w:val="32"/>
          <w:szCs w:val="32"/>
          <w:lang w:val="en-US" w:eastAsia="zh-CN"/>
        </w:rPr>
        <w:t>0</w:t>
      </w:r>
      <w:r>
        <w:rPr>
          <w:rFonts w:hint="eastAsia" w:ascii="宋体" w:hAnsi="宋体" w:cs="宋体"/>
          <w:sz w:val="32"/>
          <w:szCs w:val="32"/>
        </w:rPr>
        <w:t>万元，与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预算持平。</w:t>
      </w:r>
      <w:r>
        <w:rPr>
          <w:rFonts w:hint="eastAsia" w:ascii="宋体" w:hAnsi="宋体" w:cs="宋体"/>
          <w:sz w:val="32"/>
          <w:szCs w:val="32"/>
          <w:lang w:eastAsia="zh-CN"/>
        </w:rPr>
        <w:t>（</w:t>
      </w:r>
      <w:r>
        <w:rPr>
          <w:rFonts w:ascii="宋体" w:hAnsi="宋体" w:cs="宋体"/>
          <w:sz w:val="32"/>
          <w:szCs w:val="32"/>
        </w:rPr>
        <w:t>2</w:t>
      </w:r>
      <w:r>
        <w:rPr>
          <w:rFonts w:hint="eastAsia" w:ascii="宋体" w:hAnsi="宋体" w:cs="宋体"/>
          <w:sz w:val="32"/>
          <w:szCs w:val="32"/>
        </w:rPr>
        <w:t>）公车运行维护经费安</w:t>
      </w:r>
      <w:r>
        <w:rPr>
          <w:rFonts w:hint="eastAsia" w:ascii="宋体" w:hAnsi="宋体" w:cs="宋体"/>
          <w:sz w:val="32"/>
          <w:szCs w:val="32"/>
          <w:lang w:val="en-US" w:eastAsia="zh-CN"/>
        </w:rPr>
        <w:t>排5.1万</w:t>
      </w:r>
      <w:r>
        <w:rPr>
          <w:rFonts w:hint="eastAsia" w:ascii="宋体" w:hAnsi="宋体" w:cs="宋体"/>
          <w:sz w:val="32"/>
          <w:szCs w:val="32"/>
        </w:rPr>
        <w:t>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增加了5.1万元，文增加了公车。</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宋体" w:cs="宋体"/>
          <w:sz w:val="32"/>
          <w:szCs w:val="32"/>
        </w:rPr>
        <w:t>公务接待费安排</w:t>
      </w:r>
      <w:r>
        <w:rPr>
          <w:rFonts w:hint="eastAsia" w:ascii="宋体" w:hAnsi="宋体" w:cs="宋体"/>
          <w:sz w:val="32"/>
          <w:szCs w:val="32"/>
          <w:lang w:val="en-US" w:eastAsia="zh-CN"/>
        </w:rPr>
        <w:t>0</w:t>
      </w:r>
      <w:r>
        <w:rPr>
          <w:rFonts w:hint="eastAsia" w:ascii="宋体" w:hAnsi="宋体" w:cs="宋体"/>
          <w:sz w:val="32"/>
          <w:szCs w:val="32"/>
        </w:rPr>
        <w:t>万元，与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预算持平，</w:t>
      </w:r>
      <w:r>
        <w:rPr>
          <w:rFonts w:hint="eastAsia" w:ascii="宋体" w:hAnsi="Times New Roman" w:cs="宋体"/>
          <w:sz w:val="32"/>
          <w:szCs w:val="32"/>
          <w:lang w:eastAsia="zh-CN"/>
        </w:rPr>
        <w:t>无增减变化。</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Times New Roman" w:cs="宋体"/>
          <w:sz w:val="32"/>
          <w:szCs w:val="32"/>
          <w:lang w:val="en-US" w:eastAsia="zh-CN"/>
        </w:rPr>
        <w:t>因公出国（境）费0万元，与2020年预算持平，无增减变化。</w:t>
      </w: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启动“数字文化联通联动”工程，搭建文化培训云平台，实现数字文化多元化、数字文化智能化、数字文化定制化。总分馆互联互通，打通公共文化服务最后“一公里”。</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打造“流动百姓大舞台”，完备流动舞台车装备，利用舞台车的流动性、便利性，送文化进农村、进社区，行成百姓的舞台，群星的绽放。</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利用曹妃甸大剧院，引进优秀文化产品，以政府购买的方式，打造高雅文化剧院。</w:t>
      </w:r>
    </w:p>
    <w:p>
      <w:pPr>
        <w:widowControl w:val="0"/>
        <w:numPr>
          <w:ilvl w:val="0"/>
          <w:numId w:val="0"/>
        </w:numPr>
        <w:autoSpaceDE w:val="0"/>
        <w:autoSpaceDN w:val="0"/>
        <w:adjustRightInd w:val="0"/>
        <w:jc w:val="left"/>
        <w:rPr>
          <w:rFonts w:ascii="宋体" w:cs="宋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rPr>
          <w:rFonts w:hint="eastAsia" w:ascii="黑体" w:hAnsi="Times New Roman" w:eastAsia="黑体" w:cs="黑体"/>
          <w:b/>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sectPr>
          <w:pgSz w:w="16840" w:h="11900" w:orient="landscape"/>
          <w:pgMar w:top="1361" w:right="1020" w:bottom="1361" w:left="1020" w:header="720" w:footer="720" w:gutter="0"/>
          <w:cols w:space="720" w:num="1"/>
        </w:sectPr>
      </w:pPr>
      <w:r>
        <w:rPr>
          <w:rFonts w:hint="eastAsia" w:ascii="黑体" w:hAnsi="Times New Roman" w:eastAsia="黑体" w:cs="黑体"/>
          <w:b/>
          <w:bCs/>
          <w:kern w:val="0"/>
          <w:sz w:val="32"/>
          <w:szCs w:val="32"/>
          <w:lang w:val="en-US" w:eastAsia="zh-CN"/>
        </w:rPr>
        <w:t>预算项目绩效</w:t>
      </w:r>
    </w:p>
    <w:p>
      <w:pPr>
        <w:ind w:firstLine="560" w:firstLineChars="200"/>
        <w:jc w:val="left"/>
        <w:outlineLvl w:val="3"/>
        <w:rPr>
          <w:rFonts w:hAnsi="宋体"/>
          <w:b/>
          <w:sz w:val="28"/>
        </w:rPr>
      </w:pPr>
      <w:bookmarkStart w:id="11" w:name="_Toc65057181"/>
      <w:r>
        <w:rPr>
          <w:rFonts w:hint="eastAsia" w:ascii="方正仿宋_GBK" w:eastAsia="方正仿宋_GBK"/>
          <w:b/>
          <w:sz w:val="28"/>
        </w:rPr>
        <w:t>1.流动演出与展览绩效目标表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15、流动演出与展览绩效目标表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1302092197FCPBC7AZ7X1</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流动演出与展览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34.00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流动演出与展览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流动演出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流动展览</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活动策划</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举办活动场次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标准制定</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标准制定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标准制定</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标准制定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是否及时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控制在年初预算内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控制在年初预算内</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控制在年初预算内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生态保护影响力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生态保护影响力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生态保护影响力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生态保护影响力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业务能力增强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业务能力增强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2" w:name="_Toc65057182"/>
      <w:r>
        <w:rPr>
          <w:rFonts w:hint="eastAsia" w:ascii="方正仿宋_GBK" w:eastAsia="方正仿宋_GBK"/>
          <w:b/>
          <w:sz w:val="28"/>
          <w:lang w:val="en-US" w:eastAsia="zh-CN"/>
        </w:rPr>
        <w:t>2</w:t>
      </w:r>
      <w:r>
        <w:rPr>
          <w:rFonts w:hint="eastAsia" w:ascii="方正仿宋_GBK" w:eastAsia="方正仿宋_GBK"/>
          <w:b/>
          <w:sz w:val="28"/>
        </w:rPr>
        <w:t>.省级非物质文化代表项目经费绩效目标表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16、省级非物质文化代表项目经费绩效目标表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13020921AN6106GQWW6WA</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省级非物质文化代表项目经费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非遗展演与传承保护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非遗展演</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非遗传承</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非遗保护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举办活动场次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完成时效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3" w:name="_Toc65057183"/>
      <w:r>
        <w:rPr>
          <w:rFonts w:hint="eastAsia" w:ascii="方正仿宋_GBK" w:eastAsia="方正仿宋_GBK"/>
          <w:b/>
          <w:sz w:val="28"/>
          <w:lang w:val="en-US" w:eastAsia="zh-CN"/>
        </w:rPr>
        <w:t>3</w:t>
      </w:r>
      <w:r>
        <w:rPr>
          <w:rFonts w:hint="eastAsia" w:ascii="方正仿宋_GBK" w:eastAsia="方正仿宋_GBK"/>
          <w:b/>
          <w:sz w:val="28"/>
        </w:rPr>
        <w:t>.文化馆总分馆建设绩效目标表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17、文化馆总分馆建设绩效目标表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13020921QU6SCBWTC422D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文化馆总分馆建设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总分馆建设与运行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总分馆建设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总分馆运行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总分馆维护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服务人数</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及时性</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及时性</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是否高效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是否高效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4" w:name="_Toc65057184"/>
      <w:r>
        <w:rPr>
          <w:rFonts w:hint="eastAsia" w:ascii="方正仿宋_GBK" w:eastAsia="方正仿宋_GBK"/>
          <w:b/>
          <w:sz w:val="28"/>
          <w:lang w:val="en-US" w:eastAsia="zh-CN"/>
        </w:rPr>
        <w:t>4</w:t>
      </w:r>
      <w:r>
        <w:rPr>
          <w:rFonts w:hint="eastAsia" w:ascii="方正仿宋_GBK" w:eastAsia="方正仿宋_GBK"/>
          <w:b/>
          <w:sz w:val="28"/>
        </w:rPr>
        <w:t>.网费绩效目标表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18、网费绩效目标表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13020921U0INLBTTP6BTU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数字文化馆网络费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数字文化馆网络服务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数字文化馆网络维护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数字文化馆网络维护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完成支付</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实施进度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实施进度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实施进度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实施进度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按时完成</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总预算数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总预算数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总预算数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环保节能</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环保节能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可持续影响</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5" w:name="_Toc65057185"/>
      <w:r>
        <w:rPr>
          <w:rFonts w:hint="eastAsia" w:ascii="方正仿宋_GBK" w:eastAsia="方正仿宋_GBK"/>
          <w:b/>
          <w:sz w:val="28"/>
          <w:lang w:val="en-US" w:eastAsia="zh-CN"/>
        </w:rPr>
        <w:t>5</w:t>
      </w:r>
      <w:r>
        <w:rPr>
          <w:rFonts w:hint="eastAsia" w:ascii="方正仿宋_GBK" w:eastAsia="方正仿宋_GBK"/>
          <w:b/>
          <w:sz w:val="28"/>
        </w:rPr>
        <w:t>.县级配套免费开放专项经费绩效目标表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19、县级配套免费开放专项经费绩效目标表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13020921U32AM2HCGZGWC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县级配套免费开放专项经费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文化馆免费开放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免费开放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组织暑期培训</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举办文化活动</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组织培训人次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时效指标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社会工作受益人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生态环境得到保护</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生态环境得到保护</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生态环境得到保护</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生态环境得到保护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可持续影响</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受益群众满意度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6" w:name="_Toc65057186"/>
      <w:r>
        <w:rPr>
          <w:rFonts w:hint="eastAsia" w:ascii="方正仿宋_GBK" w:eastAsia="方正仿宋_GBK"/>
          <w:b/>
          <w:sz w:val="28"/>
          <w:lang w:val="en-US" w:eastAsia="zh-CN"/>
        </w:rPr>
        <w:t>6</w:t>
      </w:r>
      <w:r>
        <w:rPr>
          <w:rFonts w:hint="eastAsia" w:ascii="方正仿宋_GBK" w:eastAsia="方正仿宋_GBK"/>
          <w:b/>
          <w:sz w:val="28"/>
        </w:rPr>
        <w:t>.流动服务车绩效目标表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20、流动服务车绩效目标表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13020921UW5PV504540BZ</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流动服务车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流动演出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流动舞台车演出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下乡演出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群众满意度</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培训人员人次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各运维系统正常运行的比例与全部运维系统的比率</w:t>
            </w:r>
            <w:r>
              <w:rPr>
                <w:rFonts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各运维系统正常运行的比例与全部运维系统的比率</w:t>
            </w:r>
            <w:r>
              <w:rPr>
                <w:rFonts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各运维系统正常运行的比例与全部运维系统的比率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完成时效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初会影响力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社会化服务覆盖人口户数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社会化服务覆盖人口户数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社会化服务覆盖人口户数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年，曹妃甸区文化馆安排政府采购预算0.00万元。具体内容见下表。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8674"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5"/>
            </w:pP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6"/>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曹妃甸区文化馆上年末固定资产金额为</w:t>
      </w:r>
      <w:r>
        <w:rPr>
          <w:rFonts w:hint="eastAsia" w:ascii="仿宋" w:hAnsi="仿宋" w:eastAsia="仿宋" w:cs="仿宋"/>
          <w:color w:val="222222"/>
          <w:sz w:val="32"/>
          <w:szCs w:val="32"/>
          <w:shd w:val="clear" w:color="auto" w:fill="FFFFFF"/>
          <w:lang w:val="en-US" w:eastAsia="zh-CN"/>
        </w:rPr>
        <w:t>218.32</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222222"/>
          <w:sz w:val="32"/>
          <w:szCs w:val="32"/>
          <w:shd w:val="clear" w:color="auto" w:fill="FFFFFF"/>
          <w:lang w:val="en-US" w:eastAsia="zh-CN"/>
        </w:rPr>
        <w:t>4.51</w:t>
      </w:r>
      <w:r>
        <w:rPr>
          <w:rFonts w:ascii="Times New Roman" w:hAnsi="Times New Roman" w:eastAsia="方正仿宋_GBK" w:cs="Times New Roman"/>
          <w:b w:val="0"/>
          <w:color w:val="000000"/>
          <w:sz w:val="28"/>
        </w:rPr>
        <w:t>万元，已按要求列入政府采购预算，详见政府采购预算表。</w:t>
      </w:r>
      <w:r>
        <w:rPr>
          <w:rFonts w:hint="eastAsia" w:eastAsia="方正仿宋_GBK" w:cs="Times New Roman"/>
          <w:b w:val="0"/>
          <w:color w:val="000000"/>
          <w:sz w:val="28"/>
          <w:lang w:val="en-US" w:eastAsia="zh-CN"/>
        </w:rPr>
        <w:t>每项均在20万元以下。</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218.32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4933" w:type="dxa"/>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170.34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pPr>
          </w:p>
        </w:tc>
        <w:tc>
          <w:tcPr>
            <w:tcW w:w="4933" w:type="dxa"/>
            <w:noWrap w:val="0"/>
            <w:vAlign w:val="center"/>
          </w:tcPr>
          <w:p>
            <w:pPr>
              <w:pStyle w:val="16"/>
            </w:pPr>
          </w:p>
        </w:tc>
        <w:tc>
          <w:tcPr>
            <w:tcW w:w="4933" w:type="dxa"/>
            <w:noWrap w:val="0"/>
            <w:vAlign w:val="center"/>
          </w:tcPr>
          <w:p>
            <w:pPr>
              <w:pStyle w:val="14"/>
            </w:pP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5E10"/>
    <w:multiLevelType w:val="singleLevel"/>
    <w:tmpl w:val="A7FF5E10"/>
    <w:lvl w:ilvl="0" w:tentative="0">
      <w:start w:val="1"/>
      <w:numFmt w:val="chineseCounting"/>
      <w:suff w:val="nothing"/>
      <w:lvlText w:val="（%1）"/>
      <w:lvlJc w:val="left"/>
      <w:rPr>
        <w:rFonts w:hint="eastAsia"/>
      </w:rPr>
    </w:lvl>
  </w:abstractNum>
  <w:abstractNum w:abstractNumId="1">
    <w:nsid w:val="E71682CB"/>
    <w:multiLevelType w:val="singleLevel"/>
    <w:tmpl w:val="E71682CB"/>
    <w:lvl w:ilvl="0" w:tentative="0">
      <w:start w:val="10"/>
      <w:numFmt w:val="chineseCounting"/>
      <w:suff w:val="nothing"/>
      <w:lvlText w:val="%1、"/>
      <w:lvlJc w:val="left"/>
      <w:rPr>
        <w:rFonts w:hint="eastAsia"/>
      </w:rPr>
    </w:lvl>
  </w:abstractNum>
  <w:abstractNum w:abstractNumId="2">
    <w:nsid w:val="34013871"/>
    <w:multiLevelType w:val="multilevel"/>
    <w:tmpl w:val="34013871"/>
    <w:lvl w:ilvl="0" w:tentative="0">
      <w:start w:val="1"/>
      <w:numFmt w:val="japaneseCounting"/>
      <w:lvlText w:val="（%1）"/>
      <w:lvlJc w:val="left"/>
      <w:pPr>
        <w:ind w:left="2475" w:hanging="1635"/>
      </w:pPr>
      <w:rPr>
        <w:rFonts w:hint="default" w:ascii="仿宋" w:hAnsi="仿宋" w:eastAsia="仿宋"/>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A196631"/>
    <w:multiLevelType w:val="singleLevel"/>
    <w:tmpl w:val="3A196631"/>
    <w:lvl w:ilvl="0" w:tentative="0">
      <w:start w:val="3"/>
      <w:numFmt w:val="chineseCounting"/>
      <w:suff w:val="nothing"/>
      <w:lvlText w:val="%1、"/>
      <w:lvlJc w:val="left"/>
      <w:rPr>
        <w:rFonts w:hint="eastAsia"/>
      </w:rPr>
    </w:lvl>
  </w:abstractNum>
  <w:abstractNum w:abstractNumId="4">
    <w:nsid w:val="4B012454"/>
    <w:multiLevelType w:val="singleLevel"/>
    <w:tmpl w:val="4B012454"/>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FmYzI3OGUwMGIxNTMxODk1ZDc0NGZjZDY2ZmIifQ=="/>
  </w:docVars>
  <w:rsids>
    <w:rsidRoot w:val="00172A27"/>
    <w:rsid w:val="0046550B"/>
    <w:rsid w:val="008F28FB"/>
    <w:rsid w:val="00AF1302"/>
    <w:rsid w:val="00E41347"/>
    <w:rsid w:val="00F27441"/>
    <w:rsid w:val="01483505"/>
    <w:rsid w:val="01B61828"/>
    <w:rsid w:val="01D95F0B"/>
    <w:rsid w:val="021F4265"/>
    <w:rsid w:val="022F3785"/>
    <w:rsid w:val="02313F99"/>
    <w:rsid w:val="03003620"/>
    <w:rsid w:val="030C37EF"/>
    <w:rsid w:val="031D2733"/>
    <w:rsid w:val="039E2CB1"/>
    <w:rsid w:val="03C70711"/>
    <w:rsid w:val="04273D2E"/>
    <w:rsid w:val="042A6435"/>
    <w:rsid w:val="04461F7D"/>
    <w:rsid w:val="04814D63"/>
    <w:rsid w:val="04A86794"/>
    <w:rsid w:val="04C410F4"/>
    <w:rsid w:val="04D330E5"/>
    <w:rsid w:val="04E90B5B"/>
    <w:rsid w:val="051216E7"/>
    <w:rsid w:val="05BE1FE7"/>
    <w:rsid w:val="05C3315A"/>
    <w:rsid w:val="06035C4C"/>
    <w:rsid w:val="062C0CFF"/>
    <w:rsid w:val="062C51A3"/>
    <w:rsid w:val="06450013"/>
    <w:rsid w:val="06986394"/>
    <w:rsid w:val="069A035E"/>
    <w:rsid w:val="07680291"/>
    <w:rsid w:val="0808754A"/>
    <w:rsid w:val="08602EE2"/>
    <w:rsid w:val="09376339"/>
    <w:rsid w:val="097A6637"/>
    <w:rsid w:val="09840E52"/>
    <w:rsid w:val="09BB0D18"/>
    <w:rsid w:val="09CE6067"/>
    <w:rsid w:val="09DD3898"/>
    <w:rsid w:val="0A7B679D"/>
    <w:rsid w:val="0A8235E3"/>
    <w:rsid w:val="0ADA51CD"/>
    <w:rsid w:val="0B215F36"/>
    <w:rsid w:val="0B2901C6"/>
    <w:rsid w:val="0B7C6285"/>
    <w:rsid w:val="0BB53545"/>
    <w:rsid w:val="0BF95B27"/>
    <w:rsid w:val="0C7C4062"/>
    <w:rsid w:val="0C917B0E"/>
    <w:rsid w:val="0CC9374C"/>
    <w:rsid w:val="0CFD51A3"/>
    <w:rsid w:val="0D076022"/>
    <w:rsid w:val="0D290EC3"/>
    <w:rsid w:val="0D35493D"/>
    <w:rsid w:val="0D4508F8"/>
    <w:rsid w:val="0D8B0A01"/>
    <w:rsid w:val="0DA815B3"/>
    <w:rsid w:val="0E116BEA"/>
    <w:rsid w:val="0E8611C8"/>
    <w:rsid w:val="0E947D89"/>
    <w:rsid w:val="0E963B01"/>
    <w:rsid w:val="0EBD108E"/>
    <w:rsid w:val="0F0A19EF"/>
    <w:rsid w:val="0F113188"/>
    <w:rsid w:val="0F786D63"/>
    <w:rsid w:val="0F9848AD"/>
    <w:rsid w:val="0FB3423F"/>
    <w:rsid w:val="0FD20B69"/>
    <w:rsid w:val="107904F4"/>
    <w:rsid w:val="10D7086D"/>
    <w:rsid w:val="11D861DF"/>
    <w:rsid w:val="12130FC5"/>
    <w:rsid w:val="12394ECF"/>
    <w:rsid w:val="125A3098"/>
    <w:rsid w:val="12F62DC0"/>
    <w:rsid w:val="13024F2E"/>
    <w:rsid w:val="13051255"/>
    <w:rsid w:val="13EF4189"/>
    <w:rsid w:val="14BA1BCC"/>
    <w:rsid w:val="154A15EC"/>
    <w:rsid w:val="15936886"/>
    <w:rsid w:val="15B91E83"/>
    <w:rsid w:val="15C40F54"/>
    <w:rsid w:val="15CC605B"/>
    <w:rsid w:val="163559AE"/>
    <w:rsid w:val="165801C7"/>
    <w:rsid w:val="169F1079"/>
    <w:rsid w:val="16DC051F"/>
    <w:rsid w:val="17044E3B"/>
    <w:rsid w:val="176A5B2B"/>
    <w:rsid w:val="17B9616B"/>
    <w:rsid w:val="17D11706"/>
    <w:rsid w:val="18414ADE"/>
    <w:rsid w:val="185F31B6"/>
    <w:rsid w:val="18B80DAD"/>
    <w:rsid w:val="18D70F9E"/>
    <w:rsid w:val="192D6E10"/>
    <w:rsid w:val="194B3FC5"/>
    <w:rsid w:val="19801636"/>
    <w:rsid w:val="19B117EF"/>
    <w:rsid w:val="1A3F6DFB"/>
    <w:rsid w:val="1A4E00C9"/>
    <w:rsid w:val="1B216501"/>
    <w:rsid w:val="1C275D99"/>
    <w:rsid w:val="1C67088B"/>
    <w:rsid w:val="1CA218C3"/>
    <w:rsid w:val="1CC655B2"/>
    <w:rsid w:val="1D2D73DF"/>
    <w:rsid w:val="1D392227"/>
    <w:rsid w:val="1D3C3AC6"/>
    <w:rsid w:val="1D5F1074"/>
    <w:rsid w:val="1D646B79"/>
    <w:rsid w:val="1DF12B02"/>
    <w:rsid w:val="1E0B5246"/>
    <w:rsid w:val="1E1B192D"/>
    <w:rsid w:val="1E24707E"/>
    <w:rsid w:val="1E9F255E"/>
    <w:rsid w:val="1EB4768C"/>
    <w:rsid w:val="1ED41ADC"/>
    <w:rsid w:val="1F374545"/>
    <w:rsid w:val="1F4849A4"/>
    <w:rsid w:val="1F574BE7"/>
    <w:rsid w:val="1F686DF4"/>
    <w:rsid w:val="1FB50D64"/>
    <w:rsid w:val="1FFE32B4"/>
    <w:rsid w:val="20252A73"/>
    <w:rsid w:val="20C20786"/>
    <w:rsid w:val="20DF6E89"/>
    <w:rsid w:val="20EC75B1"/>
    <w:rsid w:val="22056B7C"/>
    <w:rsid w:val="222B4109"/>
    <w:rsid w:val="223C7DCC"/>
    <w:rsid w:val="23046E34"/>
    <w:rsid w:val="23541149"/>
    <w:rsid w:val="238B4E5F"/>
    <w:rsid w:val="23C2284B"/>
    <w:rsid w:val="23CA7E90"/>
    <w:rsid w:val="23F40FA4"/>
    <w:rsid w:val="245416F5"/>
    <w:rsid w:val="2479115B"/>
    <w:rsid w:val="2561056D"/>
    <w:rsid w:val="256E67E6"/>
    <w:rsid w:val="259049AF"/>
    <w:rsid w:val="26A56233"/>
    <w:rsid w:val="2707735F"/>
    <w:rsid w:val="277D71B5"/>
    <w:rsid w:val="277F4CDB"/>
    <w:rsid w:val="27A26C1B"/>
    <w:rsid w:val="27C2106B"/>
    <w:rsid w:val="28C36E49"/>
    <w:rsid w:val="28F96D0F"/>
    <w:rsid w:val="2927387C"/>
    <w:rsid w:val="29347D47"/>
    <w:rsid w:val="294D2BB7"/>
    <w:rsid w:val="296F5223"/>
    <w:rsid w:val="29C4731D"/>
    <w:rsid w:val="29E17ECF"/>
    <w:rsid w:val="2A8940C2"/>
    <w:rsid w:val="2AA1765E"/>
    <w:rsid w:val="2ABE3D6C"/>
    <w:rsid w:val="2AD73080"/>
    <w:rsid w:val="2B230073"/>
    <w:rsid w:val="2B41674B"/>
    <w:rsid w:val="2B4324C3"/>
    <w:rsid w:val="2B482E2D"/>
    <w:rsid w:val="2BAB3C0E"/>
    <w:rsid w:val="2BB84C5F"/>
    <w:rsid w:val="2D412A32"/>
    <w:rsid w:val="2D9818DA"/>
    <w:rsid w:val="2DC93154"/>
    <w:rsid w:val="2E2934F9"/>
    <w:rsid w:val="2E975000"/>
    <w:rsid w:val="2EA50228"/>
    <w:rsid w:val="2EC13E2B"/>
    <w:rsid w:val="2FA97C5D"/>
    <w:rsid w:val="30055F99"/>
    <w:rsid w:val="304C75D5"/>
    <w:rsid w:val="30515682"/>
    <w:rsid w:val="30647164"/>
    <w:rsid w:val="30CB2D3F"/>
    <w:rsid w:val="30F77FD8"/>
    <w:rsid w:val="31012E6C"/>
    <w:rsid w:val="310D3357"/>
    <w:rsid w:val="31763A98"/>
    <w:rsid w:val="31922F9F"/>
    <w:rsid w:val="31D26AE0"/>
    <w:rsid w:val="31E0281A"/>
    <w:rsid w:val="3225598A"/>
    <w:rsid w:val="32E12CEE"/>
    <w:rsid w:val="32FA3DAF"/>
    <w:rsid w:val="33557238"/>
    <w:rsid w:val="339E5DE2"/>
    <w:rsid w:val="344A041F"/>
    <w:rsid w:val="34AA5361"/>
    <w:rsid w:val="34FF38FF"/>
    <w:rsid w:val="351F4F35"/>
    <w:rsid w:val="35472BB0"/>
    <w:rsid w:val="36484E32"/>
    <w:rsid w:val="36743E79"/>
    <w:rsid w:val="36765C08"/>
    <w:rsid w:val="36AA789A"/>
    <w:rsid w:val="36B67FED"/>
    <w:rsid w:val="37841E99"/>
    <w:rsid w:val="37DC3A83"/>
    <w:rsid w:val="38685317"/>
    <w:rsid w:val="38855EC9"/>
    <w:rsid w:val="38B5221F"/>
    <w:rsid w:val="38DD3F57"/>
    <w:rsid w:val="39137979"/>
    <w:rsid w:val="3958538C"/>
    <w:rsid w:val="39A6259B"/>
    <w:rsid w:val="39CB7802"/>
    <w:rsid w:val="3A013C75"/>
    <w:rsid w:val="3A2F07E2"/>
    <w:rsid w:val="3A866323"/>
    <w:rsid w:val="3AB02FA5"/>
    <w:rsid w:val="3AC54CA3"/>
    <w:rsid w:val="3B194FEF"/>
    <w:rsid w:val="3B2A71FC"/>
    <w:rsid w:val="3B693880"/>
    <w:rsid w:val="3BBF5B96"/>
    <w:rsid w:val="3BC907C3"/>
    <w:rsid w:val="3C9C266B"/>
    <w:rsid w:val="3CAB7EC8"/>
    <w:rsid w:val="3CAD59EE"/>
    <w:rsid w:val="3D05582A"/>
    <w:rsid w:val="3D0D46DF"/>
    <w:rsid w:val="3D136199"/>
    <w:rsid w:val="3D3D4FC4"/>
    <w:rsid w:val="3D632551"/>
    <w:rsid w:val="3DB253E2"/>
    <w:rsid w:val="3E0755D2"/>
    <w:rsid w:val="3E1026D9"/>
    <w:rsid w:val="3E7B6BDE"/>
    <w:rsid w:val="3F981CA0"/>
    <w:rsid w:val="3FCF6608"/>
    <w:rsid w:val="4090365D"/>
    <w:rsid w:val="40AB493B"/>
    <w:rsid w:val="40CB183E"/>
    <w:rsid w:val="40CC2F40"/>
    <w:rsid w:val="411A73CB"/>
    <w:rsid w:val="418C651A"/>
    <w:rsid w:val="41A53138"/>
    <w:rsid w:val="41C31810"/>
    <w:rsid w:val="41DB7B41"/>
    <w:rsid w:val="41DC4A84"/>
    <w:rsid w:val="41E9571B"/>
    <w:rsid w:val="420E5181"/>
    <w:rsid w:val="423D7815"/>
    <w:rsid w:val="428C60A6"/>
    <w:rsid w:val="42BA70B7"/>
    <w:rsid w:val="43171E14"/>
    <w:rsid w:val="433C5D1E"/>
    <w:rsid w:val="43713C1A"/>
    <w:rsid w:val="437C3F11"/>
    <w:rsid w:val="43C26223"/>
    <w:rsid w:val="4407632C"/>
    <w:rsid w:val="4439400C"/>
    <w:rsid w:val="444035EC"/>
    <w:rsid w:val="447119F7"/>
    <w:rsid w:val="44A43B7B"/>
    <w:rsid w:val="45156827"/>
    <w:rsid w:val="45343151"/>
    <w:rsid w:val="457B0D80"/>
    <w:rsid w:val="45967968"/>
    <w:rsid w:val="45AF27D7"/>
    <w:rsid w:val="462C5BD6"/>
    <w:rsid w:val="46476EB4"/>
    <w:rsid w:val="464F1100"/>
    <w:rsid w:val="466734B6"/>
    <w:rsid w:val="46C91677"/>
    <w:rsid w:val="46DA3DBC"/>
    <w:rsid w:val="46F213E7"/>
    <w:rsid w:val="46F22456"/>
    <w:rsid w:val="471E7C15"/>
    <w:rsid w:val="473016F6"/>
    <w:rsid w:val="473E3030"/>
    <w:rsid w:val="480C5CBF"/>
    <w:rsid w:val="48733F90"/>
    <w:rsid w:val="48BA396D"/>
    <w:rsid w:val="48BF71D5"/>
    <w:rsid w:val="48F83774"/>
    <w:rsid w:val="49060960"/>
    <w:rsid w:val="493F20C4"/>
    <w:rsid w:val="49C34AA3"/>
    <w:rsid w:val="49DE18DD"/>
    <w:rsid w:val="49FA5FEB"/>
    <w:rsid w:val="4A547DF1"/>
    <w:rsid w:val="4A5971B6"/>
    <w:rsid w:val="4BBE19C6"/>
    <w:rsid w:val="4BCD1C09"/>
    <w:rsid w:val="4C48463E"/>
    <w:rsid w:val="4C6F4A6E"/>
    <w:rsid w:val="4C83051A"/>
    <w:rsid w:val="4CC528E0"/>
    <w:rsid w:val="4CFB54F3"/>
    <w:rsid w:val="4D801073"/>
    <w:rsid w:val="4D9F3131"/>
    <w:rsid w:val="4E0076CF"/>
    <w:rsid w:val="4E361CE8"/>
    <w:rsid w:val="4E3E0B9C"/>
    <w:rsid w:val="4E5F59D1"/>
    <w:rsid w:val="4E7E1C7B"/>
    <w:rsid w:val="4E7E543D"/>
    <w:rsid w:val="4E946A0E"/>
    <w:rsid w:val="4EE80B08"/>
    <w:rsid w:val="4F073684"/>
    <w:rsid w:val="4F4026F2"/>
    <w:rsid w:val="4F7F146C"/>
    <w:rsid w:val="4FB1539E"/>
    <w:rsid w:val="4FD07F1A"/>
    <w:rsid w:val="4FD5108C"/>
    <w:rsid w:val="50081462"/>
    <w:rsid w:val="509E3B74"/>
    <w:rsid w:val="50B769E4"/>
    <w:rsid w:val="50C730CB"/>
    <w:rsid w:val="510F05CE"/>
    <w:rsid w:val="511A58F1"/>
    <w:rsid w:val="514E7348"/>
    <w:rsid w:val="51AF66DC"/>
    <w:rsid w:val="51BF1FF4"/>
    <w:rsid w:val="52895206"/>
    <w:rsid w:val="52923265"/>
    <w:rsid w:val="52BE405A"/>
    <w:rsid w:val="52EB0BC7"/>
    <w:rsid w:val="533B38FC"/>
    <w:rsid w:val="536F35A6"/>
    <w:rsid w:val="5411465D"/>
    <w:rsid w:val="541F4FCC"/>
    <w:rsid w:val="543640C4"/>
    <w:rsid w:val="547F5A6B"/>
    <w:rsid w:val="5536081F"/>
    <w:rsid w:val="55C20305"/>
    <w:rsid w:val="56AB0D99"/>
    <w:rsid w:val="56F05A9B"/>
    <w:rsid w:val="574F5BC8"/>
    <w:rsid w:val="57C07173"/>
    <w:rsid w:val="583B7EFB"/>
    <w:rsid w:val="58692CBA"/>
    <w:rsid w:val="592D018B"/>
    <w:rsid w:val="593C3F2A"/>
    <w:rsid w:val="59450978"/>
    <w:rsid w:val="595219A0"/>
    <w:rsid w:val="59AA4B14"/>
    <w:rsid w:val="59ED3476"/>
    <w:rsid w:val="59F40CA9"/>
    <w:rsid w:val="59F42B2C"/>
    <w:rsid w:val="5A1530F9"/>
    <w:rsid w:val="5A366BCB"/>
    <w:rsid w:val="5B150F31"/>
    <w:rsid w:val="5B3E042E"/>
    <w:rsid w:val="5B3E3D83"/>
    <w:rsid w:val="5B8F47E5"/>
    <w:rsid w:val="5BA22089"/>
    <w:rsid w:val="5BB57FC4"/>
    <w:rsid w:val="5D2618E7"/>
    <w:rsid w:val="5D46181B"/>
    <w:rsid w:val="5D706898"/>
    <w:rsid w:val="5DAA1DAA"/>
    <w:rsid w:val="5DE52DE2"/>
    <w:rsid w:val="5DFC5582"/>
    <w:rsid w:val="5E394EDC"/>
    <w:rsid w:val="5E930A90"/>
    <w:rsid w:val="5EBF1885"/>
    <w:rsid w:val="5EDB5F93"/>
    <w:rsid w:val="5EE017FC"/>
    <w:rsid w:val="5F090D52"/>
    <w:rsid w:val="5F16502D"/>
    <w:rsid w:val="5F2463C0"/>
    <w:rsid w:val="5F304531"/>
    <w:rsid w:val="5F434264"/>
    <w:rsid w:val="5FA10F8B"/>
    <w:rsid w:val="5FBB58C6"/>
    <w:rsid w:val="600A4D82"/>
    <w:rsid w:val="601E25DC"/>
    <w:rsid w:val="609D79A4"/>
    <w:rsid w:val="60EB4BB4"/>
    <w:rsid w:val="61774699"/>
    <w:rsid w:val="6186603B"/>
    <w:rsid w:val="62312A9A"/>
    <w:rsid w:val="62494733"/>
    <w:rsid w:val="6252656D"/>
    <w:rsid w:val="627961EF"/>
    <w:rsid w:val="628B2C15"/>
    <w:rsid w:val="63422A85"/>
    <w:rsid w:val="63E63410"/>
    <w:rsid w:val="645C25BC"/>
    <w:rsid w:val="64835245"/>
    <w:rsid w:val="65B01F28"/>
    <w:rsid w:val="65E945DD"/>
    <w:rsid w:val="65FA6D03"/>
    <w:rsid w:val="6692787F"/>
    <w:rsid w:val="669E6224"/>
    <w:rsid w:val="66C8504F"/>
    <w:rsid w:val="671169F6"/>
    <w:rsid w:val="67177D85"/>
    <w:rsid w:val="676B15F4"/>
    <w:rsid w:val="685E3EBD"/>
    <w:rsid w:val="68727968"/>
    <w:rsid w:val="697B284D"/>
    <w:rsid w:val="697F233D"/>
    <w:rsid w:val="69BB70ED"/>
    <w:rsid w:val="69E14DA6"/>
    <w:rsid w:val="6AAF6C52"/>
    <w:rsid w:val="6AD2649C"/>
    <w:rsid w:val="6AE103C6"/>
    <w:rsid w:val="6B2036AC"/>
    <w:rsid w:val="6B685BBD"/>
    <w:rsid w:val="6BAF4A30"/>
    <w:rsid w:val="6BF568E6"/>
    <w:rsid w:val="6CB57E24"/>
    <w:rsid w:val="6D0B038C"/>
    <w:rsid w:val="6D21370B"/>
    <w:rsid w:val="6D3671B7"/>
    <w:rsid w:val="6DA02882"/>
    <w:rsid w:val="6DB10917"/>
    <w:rsid w:val="6DE137D7"/>
    <w:rsid w:val="6DF36E56"/>
    <w:rsid w:val="6E096679"/>
    <w:rsid w:val="6E361438"/>
    <w:rsid w:val="6E7F2DDF"/>
    <w:rsid w:val="6E895A0C"/>
    <w:rsid w:val="6EC922AC"/>
    <w:rsid w:val="6F1928EC"/>
    <w:rsid w:val="6F5A4CB2"/>
    <w:rsid w:val="6FE3114C"/>
    <w:rsid w:val="70291255"/>
    <w:rsid w:val="702C664F"/>
    <w:rsid w:val="703C7F1F"/>
    <w:rsid w:val="708760DD"/>
    <w:rsid w:val="711F61B4"/>
    <w:rsid w:val="71793B16"/>
    <w:rsid w:val="71A010A2"/>
    <w:rsid w:val="71C31235"/>
    <w:rsid w:val="72192C03"/>
    <w:rsid w:val="72245546"/>
    <w:rsid w:val="726C367A"/>
    <w:rsid w:val="72D1172F"/>
    <w:rsid w:val="730D6C0C"/>
    <w:rsid w:val="73532145"/>
    <w:rsid w:val="744F6DB0"/>
    <w:rsid w:val="74C74B98"/>
    <w:rsid w:val="75047B9A"/>
    <w:rsid w:val="751C0B37"/>
    <w:rsid w:val="7556790B"/>
    <w:rsid w:val="759E1D9D"/>
    <w:rsid w:val="75D457BF"/>
    <w:rsid w:val="760836BA"/>
    <w:rsid w:val="76574D10"/>
    <w:rsid w:val="76980EC3"/>
    <w:rsid w:val="769D2054"/>
    <w:rsid w:val="76DE441B"/>
    <w:rsid w:val="775C1F10"/>
    <w:rsid w:val="77822FF8"/>
    <w:rsid w:val="77F4039A"/>
    <w:rsid w:val="781C51FB"/>
    <w:rsid w:val="7821426C"/>
    <w:rsid w:val="78581C8A"/>
    <w:rsid w:val="795310F0"/>
    <w:rsid w:val="796450AB"/>
    <w:rsid w:val="79A61220"/>
    <w:rsid w:val="7A392094"/>
    <w:rsid w:val="7ADD5115"/>
    <w:rsid w:val="7B767318"/>
    <w:rsid w:val="7BE20509"/>
    <w:rsid w:val="7BE75B20"/>
    <w:rsid w:val="7C3F595C"/>
    <w:rsid w:val="7C5C650E"/>
    <w:rsid w:val="7C6A12FC"/>
    <w:rsid w:val="7CA67789"/>
    <w:rsid w:val="7D241643"/>
    <w:rsid w:val="7D4F6073"/>
    <w:rsid w:val="7D7D2BE0"/>
    <w:rsid w:val="7D9B3066"/>
    <w:rsid w:val="7E470AF8"/>
    <w:rsid w:val="7EE66563"/>
    <w:rsid w:val="7F8E2E82"/>
    <w:rsid w:val="7FF67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93</Pages>
  <Words>24369</Words>
  <Characters>29757</Characters>
  <TotalTime>2</TotalTime>
  <ScaleCrop>false</ScaleCrop>
  <LinksUpToDate>false</LinksUpToDate>
  <CharactersWithSpaces>30367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2022-07-08T15:25:00Z</dcterms:created>
  <dc:creator>admin</dc:creator>
  <cp:lastModifiedBy>Administrator</cp:lastModifiedBy>
  <dcterms:modified xsi:type="dcterms:W3CDTF">2022-09-26T00:11:24Z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EB3E9EB7ABAC450E90EC3FA905CEDDD4</vt:lpwstr>
  </property>
</Properties>
</file>